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9D" w:rsidRPr="004E7326" w:rsidRDefault="00CA7E9D">
      <w:pPr>
        <w:widowControl w:val="0"/>
        <w:pBdr>
          <w:top w:val="nil"/>
          <w:left w:val="nil"/>
          <w:bottom w:val="nil"/>
          <w:right w:val="nil"/>
          <w:between w:val="nil"/>
        </w:pBdr>
        <w:spacing w:line="276" w:lineRule="auto"/>
        <w:rPr>
          <w:rFonts w:asciiTheme="minorHAnsi" w:eastAsia="Arial" w:hAnsiTheme="minorHAnsi" w:cstheme="minorHAnsi"/>
          <w:color w:val="000000"/>
          <w:sz w:val="24"/>
          <w:szCs w:val="24"/>
        </w:rPr>
      </w:pPr>
    </w:p>
    <w:tbl>
      <w:tblPr>
        <w:tblStyle w:val="a"/>
        <w:tblW w:w="9990" w:type="dxa"/>
        <w:tblBorders>
          <w:top w:val="single" w:sz="4" w:space="0" w:color="00000A"/>
          <w:bottom w:val="single" w:sz="4" w:space="0" w:color="00000A"/>
          <w:insideH w:val="single" w:sz="4" w:space="0" w:color="00000A"/>
        </w:tblBorders>
        <w:tblLayout w:type="fixed"/>
        <w:tblLook w:val="0400" w:firstRow="0" w:lastRow="0" w:firstColumn="0" w:lastColumn="0" w:noHBand="0" w:noVBand="1"/>
      </w:tblPr>
      <w:tblGrid>
        <w:gridCol w:w="4996"/>
        <w:gridCol w:w="4994"/>
      </w:tblGrid>
      <w:tr w:rsidR="00CA7E9D" w:rsidRPr="004E7326">
        <w:trPr>
          <w:trHeight w:val="1142"/>
        </w:trPr>
        <w:tc>
          <w:tcPr>
            <w:tcW w:w="4996" w:type="dxa"/>
          </w:tcPr>
          <w:p w:rsidR="00CA7E9D" w:rsidRPr="004E7326" w:rsidRDefault="003C09BE">
            <w:pPr>
              <w:tabs>
                <w:tab w:val="center" w:pos="4320"/>
                <w:tab w:val="right" w:pos="8640"/>
              </w:tabs>
              <w:rPr>
                <w:rFonts w:asciiTheme="minorHAnsi" w:eastAsia="Times" w:hAnsiTheme="minorHAnsi" w:cstheme="minorHAnsi"/>
                <w:sz w:val="24"/>
                <w:szCs w:val="24"/>
              </w:rPr>
            </w:pPr>
            <w:bookmarkStart w:id="0" w:name="_heading=h.gjdgxs" w:colFirst="0" w:colLast="0"/>
            <w:bookmarkEnd w:id="0"/>
            <w:r w:rsidRPr="004E7326">
              <w:rPr>
                <w:rFonts w:asciiTheme="minorHAnsi" w:eastAsia="Times" w:hAnsiTheme="minorHAnsi" w:cstheme="minorHAnsi"/>
                <w:noProof/>
                <w:sz w:val="24"/>
                <w:szCs w:val="24"/>
                <w:lang w:eastAsia="fr-FR"/>
              </w:rPr>
              <w:drawing>
                <wp:inline distT="0" distB="0" distL="0" distR="0">
                  <wp:extent cx="1627875" cy="717550"/>
                  <wp:effectExtent l="0" t="0" r="0" b="0"/>
                  <wp:docPr id="588" name="image5.png" descr="clouored%20logo"/>
                  <wp:cNvGraphicFramePr/>
                  <a:graphic xmlns:a="http://schemas.openxmlformats.org/drawingml/2006/main">
                    <a:graphicData uri="http://schemas.openxmlformats.org/drawingml/2006/picture">
                      <pic:pic xmlns:pic="http://schemas.openxmlformats.org/drawingml/2006/picture">
                        <pic:nvPicPr>
                          <pic:cNvPr id="0" name="image5.png" descr="clouored%20logo"/>
                          <pic:cNvPicPr preferRelativeResize="0"/>
                        </pic:nvPicPr>
                        <pic:blipFill>
                          <a:blip r:embed="rId8"/>
                          <a:srcRect/>
                          <a:stretch>
                            <a:fillRect/>
                          </a:stretch>
                        </pic:blipFill>
                        <pic:spPr>
                          <a:xfrm>
                            <a:off x="0" y="0"/>
                            <a:ext cx="1627875" cy="717550"/>
                          </a:xfrm>
                          <a:prstGeom prst="rect">
                            <a:avLst/>
                          </a:prstGeom>
                          <a:ln/>
                        </pic:spPr>
                      </pic:pic>
                    </a:graphicData>
                  </a:graphic>
                </wp:inline>
              </w:drawing>
            </w:r>
          </w:p>
        </w:tc>
        <w:tc>
          <w:tcPr>
            <w:tcW w:w="4994" w:type="dxa"/>
          </w:tcPr>
          <w:p w:rsidR="00CA7E9D" w:rsidRPr="004E7326" w:rsidRDefault="003C09BE">
            <w:pPr>
              <w:tabs>
                <w:tab w:val="center" w:pos="4320"/>
                <w:tab w:val="right" w:pos="864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ab/>
            </w:r>
          </w:p>
          <w:p w:rsidR="00CA7E9D" w:rsidRPr="004E7326" w:rsidRDefault="003C09BE">
            <w:pPr>
              <w:tabs>
                <w:tab w:val="center" w:pos="4536"/>
                <w:tab w:val="right" w:pos="9072"/>
              </w:tabs>
              <w:rPr>
                <w:rFonts w:asciiTheme="minorHAnsi" w:hAnsiTheme="minorHAnsi" w:cstheme="minorHAnsi"/>
                <w:b/>
                <w:color w:val="00B0F0"/>
                <w:sz w:val="24"/>
                <w:szCs w:val="24"/>
              </w:rPr>
            </w:pPr>
            <w:r w:rsidRPr="004E7326">
              <w:rPr>
                <w:rFonts w:asciiTheme="minorHAnsi" w:hAnsiTheme="minorHAnsi" w:cstheme="minorHAnsi"/>
                <w:b/>
                <w:color w:val="00B0F0"/>
                <w:sz w:val="24"/>
                <w:szCs w:val="24"/>
              </w:rPr>
              <w:t>Fonds des Nations Unies pour la Population</w:t>
            </w:r>
          </w:p>
          <w:p w:rsidR="00CA7E9D" w:rsidRPr="004E7326" w:rsidRDefault="003C09BE">
            <w:pPr>
              <w:tabs>
                <w:tab w:val="center" w:pos="4536"/>
                <w:tab w:val="right" w:pos="9072"/>
              </w:tabs>
              <w:rPr>
                <w:rFonts w:asciiTheme="minorHAnsi" w:hAnsiTheme="minorHAnsi" w:cstheme="minorHAnsi"/>
                <w:b/>
                <w:color w:val="00B0F0"/>
                <w:sz w:val="24"/>
                <w:szCs w:val="24"/>
              </w:rPr>
            </w:pPr>
            <w:r w:rsidRPr="004E7326">
              <w:rPr>
                <w:rFonts w:asciiTheme="minorHAnsi" w:hAnsiTheme="minorHAnsi" w:cstheme="minorHAnsi"/>
                <w:b/>
                <w:i/>
                <w:color w:val="00B0F0"/>
                <w:sz w:val="24"/>
                <w:szCs w:val="24"/>
              </w:rPr>
              <w:t>Représentation en République de Guinée</w:t>
            </w:r>
            <w:r w:rsidRPr="004E7326">
              <w:rPr>
                <w:rFonts w:asciiTheme="minorHAnsi" w:eastAsia="Calibri" w:hAnsiTheme="minorHAnsi" w:cstheme="minorHAnsi"/>
                <w:sz w:val="24"/>
                <w:szCs w:val="24"/>
              </w:rPr>
              <w:t xml:space="preserve"> </w:t>
            </w:r>
          </w:p>
        </w:tc>
      </w:tr>
    </w:tbl>
    <w:p w:rsidR="00CA7E9D" w:rsidRPr="004E7326" w:rsidRDefault="003C09BE">
      <w:pPr>
        <w:tabs>
          <w:tab w:val="left" w:pos="540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ab/>
      </w:r>
      <w:r w:rsidRPr="004E7326">
        <w:rPr>
          <w:rFonts w:asciiTheme="minorHAnsi" w:eastAsia="Calibri" w:hAnsiTheme="minorHAnsi" w:cstheme="minorHAnsi"/>
          <w:sz w:val="24"/>
          <w:szCs w:val="24"/>
        </w:rPr>
        <w:tab/>
      </w:r>
    </w:p>
    <w:p w:rsidR="00CA7E9D" w:rsidRPr="004E7326" w:rsidRDefault="00CA7E9D">
      <w:pPr>
        <w:tabs>
          <w:tab w:val="left" w:pos="5400"/>
        </w:tabs>
        <w:jc w:val="both"/>
        <w:rPr>
          <w:rFonts w:asciiTheme="minorHAnsi" w:eastAsia="Calibri" w:hAnsiTheme="minorHAnsi" w:cstheme="minorHAnsi"/>
          <w:sz w:val="24"/>
          <w:szCs w:val="24"/>
        </w:rPr>
      </w:pPr>
    </w:p>
    <w:p w:rsidR="00CA7E9D" w:rsidRPr="004E7326" w:rsidRDefault="003C09BE">
      <w:pPr>
        <w:tabs>
          <w:tab w:val="left" w:pos="540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ab/>
      </w:r>
      <w:r w:rsidRPr="004E7326">
        <w:rPr>
          <w:rFonts w:asciiTheme="minorHAnsi" w:eastAsia="Calibri" w:hAnsiTheme="minorHAnsi" w:cstheme="minorHAnsi"/>
          <w:sz w:val="24"/>
          <w:szCs w:val="24"/>
        </w:rPr>
        <w:tab/>
      </w:r>
      <w:r w:rsidRPr="004E7326">
        <w:rPr>
          <w:rFonts w:asciiTheme="minorHAnsi" w:eastAsia="Calibri" w:hAnsiTheme="minorHAnsi" w:cstheme="minorHAnsi"/>
          <w:sz w:val="24"/>
          <w:szCs w:val="24"/>
        </w:rPr>
        <w:tab/>
        <w:t xml:space="preserve">Date : </w:t>
      </w:r>
      <w:r w:rsidRPr="004E7326">
        <w:rPr>
          <w:rFonts w:asciiTheme="minorHAnsi" w:eastAsia="Calibri" w:hAnsiTheme="minorHAnsi" w:cstheme="minorHAnsi"/>
          <w:i/>
          <w:sz w:val="24"/>
          <w:szCs w:val="24"/>
        </w:rPr>
        <w:t>21, Octobre, 2022</w:t>
      </w:r>
    </w:p>
    <w:p w:rsidR="00CA7E9D" w:rsidRPr="004E7326" w:rsidRDefault="00CA7E9D">
      <w:pPr>
        <w:tabs>
          <w:tab w:val="left" w:pos="0"/>
          <w:tab w:val="right" w:pos="1980"/>
          <w:tab w:val="left" w:pos="2160"/>
          <w:tab w:val="left" w:pos="4320"/>
        </w:tabs>
        <w:jc w:val="both"/>
        <w:rPr>
          <w:rFonts w:asciiTheme="minorHAnsi" w:eastAsia="Calibri" w:hAnsiTheme="minorHAnsi" w:cstheme="minorHAnsi"/>
          <w:b/>
          <w:sz w:val="24"/>
          <w:szCs w:val="24"/>
        </w:rPr>
      </w:pPr>
    </w:p>
    <w:p w:rsidR="00CA7E9D" w:rsidRPr="004E7326" w:rsidRDefault="003C09BE">
      <w:pPr>
        <w:pBdr>
          <w:top w:val="nil"/>
          <w:left w:val="nil"/>
          <w:bottom w:val="nil"/>
          <w:right w:val="nil"/>
          <w:between w:val="nil"/>
        </w:pBdr>
        <w:ind w:left="2880" w:firstLine="720"/>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DEMANDE DE COTATION</w:t>
      </w:r>
    </w:p>
    <w:p w:rsidR="00CA7E9D" w:rsidRPr="004E7326" w:rsidRDefault="00CA7E9D">
      <w:pPr>
        <w:pBdr>
          <w:top w:val="nil"/>
          <w:left w:val="nil"/>
          <w:bottom w:val="nil"/>
          <w:right w:val="nil"/>
          <w:between w:val="nil"/>
        </w:pBdr>
        <w:jc w:val="both"/>
        <w:rPr>
          <w:rFonts w:asciiTheme="minorHAnsi" w:eastAsia="Calibri" w:hAnsiTheme="minorHAnsi" w:cstheme="minorHAnsi"/>
          <w:b/>
          <w:color w:val="000000"/>
          <w:sz w:val="24"/>
          <w:szCs w:val="24"/>
        </w:rPr>
      </w:pPr>
    </w:p>
    <w:p w:rsidR="00CA7E9D" w:rsidRPr="001A1711" w:rsidRDefault="003C09BE">
      <w:pPr>
        <w:pBdr>
          <w:top w:val="nil"/>
          <w:left w:val="nil"/>
          <w:bottom w:val="nil"/>
          <w:right w:val="nil"/>
          <w:between w:val="nil"/>
        </w:pBdr>
        <w:jc w:val="both"/>
        <w:rPr>
          <w:rFonts w:asciiTheme="minorHAnsi" w:eastAsia="Calibri" w:hAnsiTheme="minorHAnsi" w:cstheme="minorHAnsi"/>
          <w:b/>
          <w:color w:val="000000"/>
          <w:sz w:val="24"/>
          <w:szCs w:val="24"/>
        </w:rPr>
      </w:pPr>
      <w:bookmarkStart w:id="1" w:name="_heading=h.30j0zll" w:colFirst="0" w:colLast="0"/>
      <w:bookmarkEnd w:id="1"/>
      <w:r w:rsidRPr="001A1711">
        <w:rPr>
          <w:rFonts w:asciiTheme="minorHAnsi" w:eastAsia="Calibri" w:hAnsiTheme="minorHAnsi" w:cstheme="minorHAnsi"/>
          <w:b/>
          <w:color w:val="000000"/>
          <w:sz w:val="24"/>
          <w:szCs w:val="24"/>
        </w:rPr>
        <w:t xml:space="preserve">                                                          </w:t>
      </w:r>
      <w:r w:rsidR="004B1FBF" w:rsidRPr="001A1711">
        <w:rPr>
          <w:rFonts w:asciiTheme="minorHAnsi" w:eastAsia="Calibri" w:hAnsiTheme="minorHAnsi" w:cstheme="minorHAnsi"/>
          <w:b/>
          <w:color w:val="000000"/>
          <w:sz w:val="24"/>
          <w:szCs w:val="24"/>
        </w:rPr>
        <w:t xml:space="preserve">   RFQ Nº UNFPA/GIN/RFQ/2022</w:t>
      </w:r>
      <w:r w:rsidR="009C0ED4" w:rsidRPr="001A1711">
        <w:rPr>
          <w:rFonts w:asciiTheme="minorHAnsi" w:eastAsia="Calibri" w:hAnsiTheme="minorHAnsi" w:cstheme="minorHAnsi"/>
          <w:b/>
          <w:color w:val="000000"/>
          <w:sz w:val="24"/>
          <w:szCs w:val="24"/>
        </w:rPr>
        <w:t>/019</w:t>
      </w:r>
      <w:r w:rsidRPr="001A1711">
        <w:rPr>
          <w:rFonts w:asciiTheme="minorHAnsi" w:eastAsia="Calibri" w:hAnsiTheme="minorHAnsi" w:cstheme="minorHAnsi"/>
          <w:b/>
          <w:color w:val="000000"/>
          <w:sz w:val="24"/>
          <w:szCs w:val="24"/>
        </w:rPr>
        <w:t xml:space="preserve"> </w:t>
      </w:r>
    </w:p>
    <w:p w:rsidR="00CA7E9D" w:rsidRPr="001A1711" w:rsidRDefault="00CA7E9D">
      <w:pPr>
        <w:jc w:val="both"/>
        <w:rPr>
          <w:rFonts w:asciiTheme="minorHAnsi" w:eastAsia="Calibri" w:hAnsiTheme="minorHAnsi" w:cstheme="minorHAnsi"/>
          <w:sz w:val="24"/>
          <w:szCs w:val="24"/>
        </w:rPr>
      </w:pPr>
    </w:p>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Madame, Monsieur,</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L’UNFPA sollicite par la présente une cotation pour la fourniture du service ci-dessous :</w:t>
      </w:r>
    </w:p>
    <w:p w:rsidR="00CA7E9D" w:rsidRPr="004E7326" w:rsidRDefault="00CA7E9D">
      <w:pPr>
        <w:jc w:val="both"/>
        <w:rPr>
          <w:rFonts w:asciiTheme="minorHAnsi" w:eastAsia="Calibri" w:hAnsiTheme="minorHAnsi" w:cstheme="minorHAnsi"/>
          <w:b/>
          <w:sz w:val="24"/>
          <w:szCs w:val="24"/>
        </w:rPr>
      </w:pPr>
    </w:p>
    <w:p w:rsidR="00CA7E9D" w:rsidRPr="004E7326" w:rsidRDefault="003C09BE">
      <w:pPr>
        <w:jc w:val="both"/>
        <w:rPr>
          <w:rFonts w:asciiTheme="minorHAnsi" w:eastAsia="Calibri" w:hAnsiTheme="minorHAnsi" w:cstheme="minorHAnsi"/>
          <w:b/>
          <w:sz w:val="24"/>
          <w:szCs w:val="24"/>
        </w:rPr>
      </w:pPr>
      <w:r w:rsidRPr="004E7326">
        <w:rPr>
          <w:rFonts w:asciiTheme="minorHAnsi" w:eastAsia="Calibri" w:hAnsiTheme="minorHAnsi" w:cstheme="minorHAnsi"/>
          <w:b/>
          <w:sz w:val="24"/>
          <w:szCs w:val="24"/>
        </w:rPr>
        <w:t>Enquête de perception initiale du projet “</w:t>
      </w:r>
      <w:r w:rsidR="0070089A" w:rsidRPr="004E7326">
        <w:rPr>
          <w:rFonts w:asciiTheme="minorHAnsi" w:eastAsia="Calibri" w:hAnsiTheme="minorHAnsi" w:cstheme="minorHAnsi"/>
          <w:b/>
          <w:sz w:val="24"/>
          <w:szCs w:val="24"/>
        </w:rPr>
        <w:t>Appui à la participation des femmes pour une transition inclusive et apaisée en République de Guinée</w:t>
      </w:r>
      <w:r w:rsidR="001A1711">
        <w:rPr>
          <w:rFonts w:asciiTheme="minorHAnsi" w:eastAsia="Calibri" w:hAnsiTheme="minorHAnsi" w:cstheme="minorHAnsi"/>
          <w:b/>
          <w:sz w:val="24"/>
          <w:szCs w:val="24"/>
        </w:rPr>
        <w:t>"</w:t>
      </w:r>
      <w:r w:rsidRPr="004E7326">
        <w:rPr>
          <w:rFonts w:asciiTheme="minorHAnsi" w:eastAsia="Calibri" w:hAnsiTheme="minorHAnsi" w:cstheme="minorHAnsi"/>
          <w:b/>
          <w:sz w:val="24"/>
          <w:szCs w:val="24"/>
        </w:rPr>
        <w:t>.</w:t>
      </w:r>
    </w:p>
    <w:p w:rsidR="00CA7E9D" w:rsidRPr="004E7326" w:rsidRDefault="00CA7E9D">
      <w:pPr>
        <w:jc w:val="both"/>
        <w:rPr>
          <w:rFonts w:asciiTheme="minorHAnsi" w:eastAsia="Calibri" w:hAnsiTheme="minorHAnsi" w:cstheme="minorHAnsi"/>
          <w:sz w:val="24"/>
          <w:szCs w:val="24"/>
        </w:rPr>
      </w:pP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 xml:space="preserve">Cette Demande de devis est ouverte à tous les cabinets d’étude légalement constitués en République de Guinée en mesure de fournir les services et qui disposent de la capacité juridique pour exercer dans le pays ou par l’intermédiaire d’un représentant agréé. </w:t>
      </w:r>
    </w:p>
    <w:p w:rsidR="00CA7E9D" w:rsidRPr="004E7326" w:rsidRDefault="00CA7E9D">
      <w:pPr>
        <w:jc w:val="both"/>
        <w:rPr>
          <w:rFonts w:asciiTheme="minorHAnsi" w:eastAsia="Calibri" w:hAnsiTheme="minorHAnsi" w:cstheme="minorHAnsi"/>
          <w:sz w:val="24"/>
          <w:szCs w:val="24"/>
        </w:rPr>
      </w:pPr>
    </w:p>
    <w:p w:rsidR="00CA7E9D" w:rsidRPr="004E7326" w:rsidRDefault="003C09BE">
      <w:pPr>
        <w:numPr>
          <w:ilvl w:val="0"/>
          <w:numId w:val="4"/>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À propos de l’UNFPA</w:t>
      </w:r>
    </w:p>
    <w:p w:rsidR="00CA7E9D" w:rsidRPr="004E7326" w:rsidRDefault="00CA7E9D">
      <w:pPr>
        <w:pBdr>
          <w:top w:val="nil"/>
          <w:left w:val="nil"/>
          <w:bottom w:val="nil"/>
          <w:right w:val="nil"/>
          <w:between w:val="nil"/>
        </w:pBdr>
        <w:ind w:left="360"/>
        <w:jc w:val="both"/>
        <w:rPr>
          <w:rFonts w:asciiTheme="minorHAnsi" w:eastAsia="Calibri" w:hAnsiTheme="minorHAnsi" w:cstheme="minorHAnsi"/>
          <w:b/>
          <w:color w:val="000000"/>
          <w:sz w:val="24"/>
          <w:szCs w:val="24"/>
        </w:rPr>
      </w:pPr>
    </w:p>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 xml:space="preserve">L’UNFPA, le Fonds des Nations Unies pour la Population, est une agence internationale de développement </w:t>
      </w:r>
      <w:r w:rsidRPr="004E7326">
        <w:rPr>
          <w:rFonts w:asciiTheme="minorHAnsi" w:eastAsia="Calibri" w:hAnsiTheme="minorHAnsi" w:cstheme="minorHAnsi"/>
          <w:color w:val="000000"/>
          <w:sz w:val="24"/>
          <w:szCs w:val="24"/>
          <w:highlight w:val="white"/>
        </w:rPr>
        <w:t>dont le but est de réaliser un monde où chaque grossesse est désirée, chaque accouchement est sans danger, et le potentiel de chaque jeune est accompli.</w:t>
      </w:r>
      <w:r w:rsidRPr="004E7326">
        <w:rPr>
          <w:rFonts w:asciiTheme="minorHAnsi" w:eastAsia="Calibri" w:hAnsiTheme="minorHAnsi" w:cstheme="minorHAnsi"/>
          <w:color w:val="000000"/>
          <w:sz w:val="24"/>
          <w:szCs w:val="24"/>
        </w:rPr>
        <w:t xml:space="preserve">   </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 xml:space="preserve">L’UNFPA est la principale Agence des Nations Unies qui </w:t>
      </w:r>
      <w:r w:rsidRPr="004E7326">
        <w:rPr>
          <w:rFonts w:asciiTheme="minorHAnsi" w:eastAsia="Calibri" w:hAnsiTheme="minorHAnsi" w:cstheme="minorHAnsi"/>
          <w:color w:val="000000"/>
          <w:sz w:val="24"/>
          <w:szCs w:val="24"/>
          <w:highlight w:val="white"/>
        </w:rPr>
        <w:t>permet aux femmes et aux jeunes d’avoir une vie sexuelle et reproductive saine.</w:t>
      </w:r>
      <w:r w:rsidRPr="004E7326">
        <w:rPr>
          <w:rFonts w:asciiTheme="minorHAnsi" w:eastAsia="Calibri" w:hAnsiTheme="minorHAnsi" w:cstheme="minorHAnsi"/>
          <w:color w:val="000000"/>
          <w:sz w:val="24"/>
          <w:szCs w:val="24"/>
        </w:rPr>
        <w:t xml:space="preserve"> Pour en savoir plus au sujet de l’UNFPA, veuillez visiter : </w:t>
      </w:r>
      <w:hyperlink r:id="rId9">
        <w:r w:rsidRPr="004E7326">
          <w:rPr>
            <w:rFonts w:asciiTheme="minorHAnsi" w:eastAsia="Calibri" w:hAnsiTheme="minorHAnsi" w:cstheme="minorHAnsi"/>
            <w:color w:val="000000"/>
            <w:sz w:val="24"/>
            <w:szCs w:val="24"/>
            <w:u w:val="single"/>
          </w:rPr>
          <w:t>À propos de l’UNFPA.</w:t>
        </w:r>
      </w:hyperlink>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highlight w:val="cyan"/>
        </w:rPr>
      </w:pPr>
    </w:p>
    <w:p w:rsidR="00CA7E9D" w:rsidRPr="009C0ED4" w:rsidRDefault="003C09BE" w:rsidP="009C0ED4">
      <w:pPr>
        <w:pStyle w:val="ListParagraph"/>
        <w:numPr>
          <w:ilvl w:val="0"/>
          <w:numId w:val="4"/>
        </w:numPr>
        <w:jc w:val="both"/>
        <w:rPr>
          <w:rFonts w:asciiTheme="minorHAnsi" w:eastAsia="Calibri" w:hAnsiTheme="minorHAnsi" w:cstheme="minorHAnsi"/>
          <w:b/>
          <w:sz w:val="24"/>
          <w:szCs w:val="24"/>
        </w:rPr>
      </w:pPr>
      <w:r w:rsidRPr="009C0ED4">
        <w:rPr>
          <w:rFonts w:asciiTheme="minorHAnsi" w:eastAsia="Calibri" w:hAnsiTheme="minorHAnsi" w:cstheme="minorHAnsi"/>
          <w:b/>
          <w:sz w:val="24"/>
          <w:szCs w:val="24"/>
        </w:rPr>
        <w:t>CAHIER DES CHARGES</w:t>
      </w:r>
    </w:p>
    <w:p w:rsidR="002D631D" w:rsidRDefault="002D631D" w:rsidP="002D631D">
      <w:pPr>
        <w:jc w:val="both"/>
        <w:rPr>
          <w:rFonts w:asciiTheme="minorHAnsi" w:eastAsia="Calibri" w:hAnsiTheme="minorHAnsi" w:cstheme="minorHAnsi"/>
          <w:b/>
          <w:sz w:val="24"/>
          <w:szCs w:val="24"/>
        </w:rPr>
      </w:pPr>
    </w:p>
    <w:p w:rsidR="002D631D" w:rsidRPr="002D631D" w:rsidRDefault="002D631D" w:rsidP="002D631D">
      <w:pPr>
        <w:jc w:val="both"/>
        <w:rPr>
          <w:rFonts w:asciiTheme="minorHAnsi" w:eastAsia="Calibri" w:hAnsiTheme="minorHAnsi" w:cstheme="minorHAnsi"/>
          <w:b/>
          <w:sz w:val="24"/>
          <w:szCs w:val="24"/>
        </w:rPr>
      </w:pPr>
      <w:r>
        <w:rPr>
          <w:rFonts w:asciiTheme="minorHAnsi" w:eastAsia="Calibri" w:hAnsiTheme="minorHAnsi" w:cstheme="minorHAnsi"/>
          <w:b/>
          <w:sz w:val="24"/>
          <w:szCs w:val="24"/>
        </w:rPr>
        <w:t>1.Contexte et Justification</w:t>
      </w:r>
    </w:p>
    <w:p w:rsidR="00CA7E9D" w:rsidRPr="004E7326" w:rsidRDefault="00CA7E9D">
      <w:pPr>
        <w:jc w:val="both"/>
        <w:rPr>
          <w:rFonts w:asciiTheme="minorHAnsi" w:eastAsia="Calibri" w:hAnsiTheme="minorHAnsi" w:cstheme="minorHAnsi"/>
          <w:b/>
          <w:sz w:val="24"/>
          <w:szCs w:val="24"/>
        </w:rPr>
      </w:pPr>
    </w:p>
    <w:p w:rsidR="0070089A" w:rsidRPr="004E7326" w:rsidRDefault="0070089A" w:rsidP="0070089A">
      <w:pPr>
        <w:spacing w:line="276" w:lineRule="auto"/>
        <w:jc w:val="both"/>
        <w:rPr>
          <w:rFonts w:asciiTheme="minorHAnsi" w:hAnsiTheme="minorHAnsi" w:cstheme="minorHAnsi"/>
          <w:b/>
          <w:color w:val="000000"/>
          <w:sz w:val="24"/>
          <w:szCs w:val="24"/>
        </w:rPr>
      </w:pPr>
      <w:r w:rsidRPr="004E7326">
        <w:rPr>
          <w:rFonts w:asciiTheme="minorHAnsi" w:hAnsiTheme="minorHAnsi" w:cstheme="minorHAnsi"/>
          <w:sz w:val="24"/>
          <w:szCs w:val="24"/>
        </w:rPr>
        <w:t xml:space="preserve">Dans la dynamique de la stratégie intégrée du système des Nations Unies en accompagnement à la transition politique en Guinée et conformément à sa mission d’appui au Gouvernement Guinéen, le bureau de la coordination du Système des Nations Unies à travers trois agences à savoir Le Fonds des Nations Unies pour la Population  - UNFPA, le Programme des Nations Unies pour le Développement - PNUD, et le Fonds des Nations Unies pour l’Enfance- UNICEF,  ont élaboré un projet conjoint </w:t>
      </w:r>
      <w:r w:rsidRPr="004E7326">
        <w:rPr>
          <w:rFonts w:asciiTheme="minorHAnsi" w:hAnsiTheme="minorHAnsi" w:cstheme="minorHAnsi"/>
          <w:sz w:val="24"/>
          <w:szCs w:val="24"/>
        </w:rPr>
        <w:lastRenderedPageBreak/>
        <w:t xml:space="preserve">dénommé: </w:t>
      </w:r>
      <w:r w:rsidRPr="004E7326">
        <w:rPr>
          <w:rFonts w:asciiTheme="minorHAnsi" w:hAnsiTheme="minorHAnsi" w:cstheme="minorHAnsi"/>
          <w:b/>
          <w:color w:val="000000"/>
          <w:sz w:val="24"/>
          <w:szCs w:val="24"/>
        </w:rPr>
        <w:t>“</w:t>
      </w:r>
      <w:r w:rsidRPr="004E7326">
        <w:rPr>
          <w:rFonts w:asciiTheme="minorHAnsi" w:hAnsiTheme="minorHAnsi" w:cstheme="minorHAnsi"/>
          <w:b/>
          <w:sz w:val="24"/>
          <w:szCs w:val="24"/>
          <w:lang w:val="fr-CA"/>
        </w:rPr>
        <w:t>Appui à la participation des femmes pour une transition inclusive et apaisée en République de Guinée</w:t>
      </w:r>
      <w:r w:rsidRPr="004E7326">
        <w:rPr>
          <w:rFonts w:asciiTheme="minorHAnsi" w:hAnsiTheme="minorHAnsi" w:cstheme="minorHAnsi"/>
          <w:b/>
          <w:sz w:val="24"/>
          <w:szCs w:val="24"/>
        </w:rPr>
        <w:t xml:space="preserve"> ” </w:t>
      </w:r>
      <w:r w:rsidRPr="004E7326">
        <w:rPr>
          <w:rFonts w:asciiTheme="minorHAnsi" w:hAnsiTheme="minorHAnsi" w:cstheme="minorHAnsi"/>
          <w:bCs/>
          <w:sz w:val="24"/>
          <w:szCs w:val="24"/>
        </w:rPr>
        <w:t>sous financement du</w:t>
      </w:r>
      <w:r w:rsidRPr="004E7326">
        <w:rPr>
          <w:rFonts w:asciiTheme="minorHAnsi" w:hAnsiTheme="minorHAnsi" w:cstheme="minorHAnsi"/>
          <w:b/>
          <w:sz w:val="24"/>
          <w:szCs w:val="24"/>
        </w:rPr>
        <w:t xml:space="preserve"> </w:t>
      </w:r>
      <w:r w:rsidRPr="004E7326">
        <w:rPr>
          <w:rFonts w:asciiTheme="minorHAnsi" w:hAnsiTheme="minorHAnsi" w:cstheme="minorHAnsi"/>
          <w:sz w:val="24"/>
          <w:szCs w:val="24"/>
        </w:rPr>
        <w:t>Fonds des Nations Unies pour la Consolidation de la Paix -PBF</w:t>
      </w:r>
      <w:r w:rsidRPr="004E7326">
        <w:rPr>
          <w:rFonts w:asciiTheme="minorHAnsi" w:hAnsiTheme="minorHAnsi" w:cstheme="minorHAnsi"/>
          <w:b/>
          <w:sz w:val="24"/>
          <w:szCs w:val="24"/>
        </w:rPr>
        <w:t>.</w:t>
      </w:r>
    </w:p>
    <w:p w:rsidR="0070089A" w:rsidRPr="004E7326" w:rsidRDefault="0070089A" w:rsidP="0070089A">
      <w:pPr>
        <w:spacing w:after="200" w:line="276" w:lineRule="auto"/>
        <w:jc w:val="both"/>
        <w:rPr>
          <w:rFonts w:asciiTheme="minorHAnsi" w:hAnsiTheme="minorHAnsi" w:cstheme="minorHAnsi"/>
          <w:bCs/>
          <w:iCs/>
          <w:sz w:val="24"/>
          <w:szCs w:val="24"/>
        </w:rPr>
      </w:pPr>
      <w:r w:rsidRPr="004E7326">
        <w:rPr>
          <w:rFonts w:asciiTheme="minorHAnsi" w:hAnsiTheme="minorHAnsi" w:cstheme="minorHAnsi"/>
          <w:color w:val="000000"/>
          <w:sz w:val="24"/>
          <w:szCs w:val="24"/>
        </w:rPr>
        <w:t xml:space="preserve">La conception </w:t>
      </w:r>
      <w:r w:rsidR="001A1711" w:rsidRPr="004E7326">
        <w:rPr>
          <w:rFonts w:asciiTheme="minorHAnsi" w:hAnsiTheme="minorHAnsi" w:cstheme="minorHAnsi"/>
          <w:color w:val="000000"/>
          <w:sz w:val="24"/>
          <w:szCs w:val="24"/>
        </w:rPr>
        <w:t>ce présent</w:t>
      </w:r>
      <w:r w:rsidRPr="004E7326">
        <w:rPr>
          <w:rFonts w:asciiTheme="minorHAnsi" w:hAnsiTheme="minorHAnsi" w:cstheme="minorHAnsi"/>
          <w:color w:val="000000"/>
          <w:sz w:val="24"/>
          <w:szCs w:val="24"/>
        </w:rPr>
        <w:t xml:space="preserve"> projet est l’œuvre d’une démarche concertée et inclusive des agences onusiennes récipiendaires ainsi que les partenaires nationaux. Les cadres techniques des ministères ci-après : </w:t>
      </w:r>
      <w:r w:rsidRPr="004E7326">
        <w:rPr>
          <w:rFonts w:asciiTheme="minorHAnsi" w:eastAsia="SimSun" w:hAnsiTheme="minorHAnsi" w:cstheme="minorHAnsi"/>
          <w:snapToGrid w:val="0"/>
          <w:sz w:val="24"/>
          <w:szCs w:val="24"/>
          <w:lang w:val="fr-CA"/>
        </w:rPr>
        <w:t>Ministère de la Promotion Féminine, de l’Enfance et des Personnes Vulnérables – MPFEPV</w:t>
      </w:r>
      <w:r w:rsidRPr="004E7326">
        <w:rPr>
          <w:rFonts w:asciiTheme="minorHAnsi" w:eastAsia="SimSun" w:hAnsiTheme="minorHAnsi" w:cstheme="minorHAnsi"/>
          <w:snapToGrid w:val="0"/>
          <w:sz w:val="24"/>
          <w:szCs w:val="24"/>
        </w:rPr>
        <w:t xml:space="preserve">, </w:t>
      </w:r>
      <w:r w:rsidRPr="004E7326">
        <w:rPr>
          <w:rFonts w:asciiTheme="minorHAnsi" w:eastAsia="SimSun" w:hAnsiTheme="minorHAnsi" w:cstheme="minorHAnsi"/>
          <w:snapToGrid w:val="0"/>
          <w:sz w:val="24"/>
          <w:szCs w:val="24"/>
          <w:lang w:val="fr-CA"/>
        </w:rPr>
        <w:t xml:space="preserve">Ministère de la Justice et des Droits de l’Homme – MJDH et Ministère de l’Administration du Territoire et de la Décentralisation – MATD </w:t>
      </w:r>
      <w:r w:rsidRPr="004E7326">
        <w:rPr>
          <w:rFonts w:asciiTheme="minorHAnsi" w:hAnsiTheme="minorHAnsi" w:cstheme="minorHAnsi"/>
          <w:color w:val="000000"/>
          <w:sz w:val="24"/>
          <w:szCs w:val="24"/>
        </w:rPr>
        <w:t xml:space="preserve">ont été mis à contribution de même que les Organisations de la Société Civile suivantes : </w:t>
      </w:r>
      <w:r w:rsidRPr="004E7326">
        <w:rPr>
          <w:rFonts w:asciiTheme="minorHAnsi" w:eastAsia="SimSun" w:hAnsiTheme="minorHAnsi" w:cstheme="minorHAnsi"/>
          <w:snapToGrid w:val="0"/>
          <w:sz w:val="24"/>
          <w:szCs w:val="24"/>
          <w:lang w:val="fr-CA"/>
        </w:rPr>
        <w:t>Coalition Nationale de Guinée pour les Droits et la Citoyenneté des Femmes- CONAG DCF</w:t>
      </w:r>
      <w:r w:rsidRPr="004E7326">
        <w:rPr>
          <w:rFonts w:asciiTheme="minorHAnsi" w:eastAsia="SimSun" w:hAnsiTheme="minorHAnsi" w:cstheme="minorHAnsi"/>
          <w:snapToGrid w:val="0"/>
          <w:sz w:val="24"/>
          <w:szCs w:val="24"/>
        </w:rPr>
        <w:t xml:space="preserve">, </w:t>
      </w:r>
      <w:r w:rsidRPr="004E7326">
        <w:rPr>
          <w:rFonts w:asciiTheme="minorHAnsi" w:eastAsia="SimSun" w:hAnsiTheme="minorHAnsi" w:cstheme="minorHAnsi"/>
          <w:snapToGrid w:val="0"/>
          <w:sz w:val="24"/>
          <w:szCs w:val="24"/>
          <w:lang w:val="fr-CA"/>
        </w:rPr>
        <w:t>Réseau Régional des groupements informels des femmes et filles leaders communautaires à Conakry</w:t>
      </w:r>
      <w:r w:rsidRPr="004E7326">
        <w:rPr>
          <w:rFonts w:asciiTheme="minorHAnsi" w:eastAsia="SimSun" w:hAnsiTheme="minorHAnsi" w:cstheme="minorHAnsi"/>
          <w:snapToGrid w:val="0"/>
          <w:sz w:val="24"/>
          <w:szCs w:val="24"/>
        </w:rPr>
        <w:t xml:space="preserve">, </w:t>
      </w:r>
      <w:r w:rsidRPr="004E7326">
        <w:rPr>
          <w:rFonts w:asciiTheme="minorHAnsi" w:eastAsia="SimSun" w:hAnsiTheme="minorHAnsi" w:cstheme="minorHAnsi"/>
          <w:snapToGrid w:val="0"/>
          <w:sz w:val="24"/>
          <w:szCs w:val="24"/>
          <w:lang w:val="fr-CA"/>
        </w:rPr>
        <w:t>Club des Jeunes Filles Leaders de Guinée – CJFLG</w:t>
      </w:r>
      <w:r w:rsidRPr="004E7326">
        <w:rPr>
          <w:rFonts w:asciiTheme="minorHAnsi" w:eastAsia="SimSun" w:hAnsiTheme="minorHAnsi" w:cstheme="minorHAnsi"/>
          <w:snapToGrid w:val="0"/>
          <w:sz w:val="24"/>
          <w:szCs w:val="24"/>
        </w:rPr>
        <w:t>.</w:t>
      </w:r>
      <w:r w:rsidRPr="004E7326">
        <w:rPr>
          <w:rFonts w:asciiTheme="minorHAnsi" w:eastAsia="SimSun" w:hAnsiTheme="minorHAnsi" w:cstheme="minorHAnsi"/>
          <w:snapToGrid w:val="0"/>
          <w:sz w:val="24"/>
          <w:szCs w:val="24"/>
          <w:lang w:val="fr-CA"/>
        </w:rPr>
        <w:t xml:space="preserve"> </w:t>
      </w:r>
      <w:r w:rsidRPr="004E7326">
        <w:rPr>
          <w:rFonts w:asciiTheme="minorHAnsi" w:hAnsiTheme="minorHAnsi" w:cstheme="minorHAnsi"/>
          <w:bCs/>
          <w:iCs/>
          <w:sz w:val="24"/>
          <w:szCs w:val="24"/>
        </w:rPr>
        <w:t xml:space="preserve">Certaines Conseillères du CNT ont également été mises à contribution dans le processus de conception de ce projet. </w:t>
      </w:r>
    </w:p>
    <w:p w:rsidR="0070089A" w:rsidRPr="004E7326" w:rsidRDefault="0070089A" w:rsidP="0070089A">
      <w:pPr>
        <w:pStyle w:val="CommentText"/>
        <w:spacing w:line="276" w:lineRule="auto"/>
        <w:jc w:val="both"/>
        <w:rPr>
          <w:rFonts w:asciiTheme="minorHAnsi" w:hAnsiTheme="minorHAnsi" w:cstheme="minorHAnsi"/>
          <w:sz w:val="24"/>
          <w:szCs w:val="24"/>
          <w:lang w:val="fr-CA"/>
        </w:rPr>
      </w:pPr>
      <w:r w:rsidRPr="004E7326">
        <w:rPr>
          <w:rFonts w:asciiTheme="minorHAnsi" w:hAnsiTheme="minorHAnsi" w:cstheme="minorHAnsi"/>
          <w:b/>
          <w:color w:val="000000"/>
          <w:sz w:val="24"/>
          <w:szCs w:val="24"/>
        </w:rPr>
        <w:t>Le projet d’“</w:t>
      </w:r>
      <w:r w:rsidRPr="004E7326">
        <w:rPr>
          <w:rFonts w:asciiTheme="minorHAnsi" w:hAnsiTheme="minorHAnsi" w:cstheme="minorHAnsi"/>
          <w:b/>
          <w:sz w:val="24"/>
          <w:szCs w:val="24"/>
          <w:lang w:val="fr-CA"/>
        </w:rPr>
        <w:t>Appui à la participation des femmes pour une transition inclusive et apaisée en République de Guinée</w:t>
      </w:r>
      <w:r w:rsidRPr="004E7326">
        <w:rPr>
          <w:rFonts w:asciiTheme="minorHAnsi" w:hAnsiTheme="minorHAnsi" w:cstheme="minorHAnsi"/>
          <w:b/>
          <w:sz w:val="24"/>
          <w:szCs w:val="24"/>
        </w:rPr>
        <w:t xml:space="preserve"> ” </w:t>
      </w:r>
      <w:r w:rsidRPr="004E7326">
        <w:rPr>
          <w:rFonts w:asciiTheme="minorHAnsi" w:hAnsiTheme="minorHAnsi" w:cstheme="minorHAnsi"/>
          <w:sz w:val="24"/>
          <w:szCs w:val="24"/>
        </w:rPr>
        <w:t xml:space="preserve">a pour objectif </w:t>
      </w:r>
      <w:r w:rsidRPr="004E7326">
        <w:rPr>
          <w:rFonts w:asciiTheme="minorHAnsi" w:hAnsiTheme="minorHAnsi" w:cstheme="minorHAnsi"/>
          <w:sz w:val="24"/>
          <w:szCs w:val="24"/>
          <w:lang w:val="fr-CA"/>
        </w:rPr>
        <w:t xml:space="preserve">de contribuer à l’amélioration de la participation active des femmes et des jeunes filles dans le processus de prise de décisions pour une transition politique inclusive et apaisée. </w:t>
      </w:r>
    </w:p>
    <w:p w:rsidR="0070089A" w:rsidRPr="004E7326" w:rsidRDefault="0070089A" w:rsidP="0070089A">
      <w:pPr>
        <w:spacing w:line="276" w:lineRule="auto"/>
        <w:jc w:val="both"/>
        <w:rPr>
          <w:rFonts w:asciiTheme="minorHAnsi" w:eastAsia="SimSun" w:hAnsiTheme="minorHAnsi" w:cstheme="minorHAnsi"/>
          <w:b/>
          <w:bCs/>
          <w:sz w:val="24"/>
          <w:szCs w:val="24"/>
          <w:lang w:val="fr-CA"/>
        </w:rPr>
      </w:pPr>
      <w:r w:rsidRPr="004E7326">
        <w:rPr>
          <w:rFonts w:asciiTheme="minorHAnsi" w:hAnsiTheme="minorHAnsi" w:cstheme="minorHAnsi"/>
          <w:sz w:val="24"/>
          <w:szCs w:val="24"/>
          <w:lang w:val="fr-CA"/>
        </w:rPr>
        <w:t>Cette initiative est bâtie autour de trois axes majeurs : (i) Le renforcement de la participation et de la représentation de la diversité des femmes dans les instances et organes de prise de décisions au niveau local et national ; (ii) la contribution des femmes et des filles à l’instauration d’un climat de confiance, de cohésion sociale et de la culture de non-violence; (iii) et la réduction des violences faites aux femmes en politique et à celles issues des organisations de défense des droits des femmes et des jeunes filles.</w:t>
      </w:r>
      <w:r w:rsidRPr="004E7326">
        <w:rPr>
          <w:rFonts w:asciiTheme="minorHAnsi" w:eastAsia="SimSun" w:hAnsiTheme="minorHAnsi" w:cstheme="minorHAnsi"/>
          <w:b/>
          <w:bCs/>
          <w:sz w:val="24"/>
          <w:szCs w:val="24"/>
          <w:lang w:val="fr-CA"/>
        </w:rPr>
        <w:t xml:space="preserve"> </w:t>
      </w:r>
    </w:p>
    <w:p w:rsidR="0070089A" w:rsidRPr="004E7326" w:rsidRDefault="0070089A" w:rsidP="0070089A">
      <w:pPr>
        <w:spacing w:line="276" w:lineRule="auto"/>
        <w:jc w:val="both"/>
        <w:rPr>
          <w:rFonts w:asciiTheme="minorHAnsi" w:eastAsia="MS Mincho" w:hAnsiTheme="minorHAnsi" w:cstheme="minorHAnsi"/>
          <w:sz w:val="24"/>
          <w:szCs w:val="24"/>
          <w:lang w:val="fr-CA"/>
        </w:rPr>
      </w:pPr>
      <w:r w:rsidRPr="004E7326">
        <w:rPr>
          <w:rFonts w:asciiTheme="minorHAnsi" w:hAnsiTheme="minorHAnsi" w:cstheme="minorHAnsi"/>
          <w:sz w:val="24"/>
          <w:szCs w:val="24"/>
          <w:lang w:val="fr-CA"/>
        </w:rPr>
        <w:t xml:space="preserve">Ce projet s’inscrit également dans le cadre de la Résolution 1325/2000 du Conseil de sécurité visant la participation des femmes aux processus de consolidation de la paix. </w:t>
      </w:r>
    </w:p>
    <w:p w:rsidR="0070089A" w:rsidRPr="004E7326" w:rsidRDefault="0070089A" w:rsidP="0070089A">
      <w:pPr>
        <w:spacing w:line="276" w:lineRule="auto"/>
        <w:jc w:val="both"/>
        <w:rPr>
          <w:rFonts w:asciiTheme="minorHAnsi" w:hAnsiTheme="minorHAnsi" w:cstheme="minorHAnsi"/>
          <w:sz w:val="24"/>
          <w:szCs w:val="24"/>
          <w:lang w:val="fr-CA"/>
        </w:rPr>
      </w:pPr>
      <w:r w:rsidRPr="004E7326">
        <w:rPr>
          <w:rFonts w:asciiTheme="minorHAnsi" w:hAnsiTheme="minorHAnsi" w:cstheme="minorHAnsi"/>
          <w:sz w:val="24"/>
          <w:szCs w:val="24"/>
          <w:lang w:val="fr-CA"/>
        </w:rPr>
        <w:t xml:space="preserve"> </w:t>
      </w:r>
    </w:p>
    <w:p w:rsidR="0070089A" w:rsidRPr="004E7326" w:rsidRDefault="0070089A" w:rsidP="0070089A">
      <w:pPr>
        <w:spacing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Le projet contribuera à l’égalité des sexes et à l’autonomisation des femmes. Principalement, il s’agit de : i) la mise en place d’une plateforme fédératrice des femmes dans plusieurs domaines, notamment la cohésion sociale, la prévention des conflits, la participation politique et la défense des droits des femmes ; ii)  du renforcement de capacités des femmes et jeunes filles, ainsi que leurs organisations/réseaux ; iii) de l’appui et l’accompagnement de leurs initiatives sociales et économiques ; iv) de l’application des textes juridiques relatifs aux droits des femmes et des filles et v) du renforcement du partenariat avec des acteurs de la société civile. </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color w:val="000000"/>
          <w:sz w:val="24"/>
          <w:szCs w:val="24"/>
        </w:rPr>
        <w:t xml:space="preserve">Pour mieux réussir la mise en œuvre de ce projet, il s’avère nécessaire de disposer de données initiales avant les actions projets permettant de mesurer les progrès et changements que le projet apportera. Il s’agit de recueillir des données pour établir une base de planification et pour permettre l’appréciation des progrès dans le cadre d'un suivi régulier et l'évaluation des résultats de ce présent projet. En effet, les principales données </w:t>
      </w:r>
      <w:r w:rsidRPr="004E7326">
        <w:rPr>
          <w:rFonts w:asciiTheme="minorHAnsi" w:hAnsiTheme="minorHAnsi" w:cstheme="minorHAnsi"/>
          <w:sz w:val="24"/>
          <w:szCs w:val="24"/>
        </w:rPr>
        <w:t>socio démographiques</w:t>
      </w:r>
      <w:r w:rsidRPr="004E7326">
        <w:rPr>
          <w:rFonts w:asciiTheme="minorHAnsi" w:hAnsiTheme="minorHAnsi" w:cstheme="minorHAnsi"/>
          <w:color w:val="000000"/>
          <w:sz w:val="24"/>
          <w:szCs w:val="24"/>
        </w:rPr>
        <w:t xml:space="preserve"> nécessaires pour établir la situation de </w:t>
      </w:r>
      <w:r w:rsidRPr="004E7326">
        <w:rPr>
          <w:rFonts w:asciiTheme="minorHAnsi" w:hAnsiTheme="minorHAnsi" w:cstheme="minorHAnsi"/>
          <w:color w:val="000000"/>
          <w:sz w:val="24"/>
          <w:szCs w:val="24"/>
        </w:rPr>
        <w:lastRenderedPageBreak/>
        <w:t>référence dans les zones d’intervention du projet seront fournies par les projections de données du recensement général de la population et de l’habitat (RGPH), du DHIS2. Cependant, même si cette opération de collecte de grande envergure aborde</w:t>
      </w:r>
      <w:r w:rsidRPr="004E7326">
        <w:rPr>
          <w:rFonts w:asciiTheme="minorHAnsi" w:hAnsiTheme="minorHAnsi" w:cstheme="minorHAnsi"/>
          <w:sz w:val="24"/>
          <w:szCs w:val="24"/>
        </w:rPr>
        <w:t xml:space="preserve"> pratiquement tous les domaines d’interventions du projet, elle ne couvre pas entièrement les populations cibles et ne permettent pas d’apprécier spécifiquement les indicateurs du projet.</w:t>
      </w:r>
    </w:p>
    <w:p w:rsidR="0070089A" w:rsidRPr="004E7326" w:rsidRDefault="0070089A" w:rsidP="0070089A">
      <w:pPr>
        <w:spacing w:line="276" w:lineRule="auto"/>
        <w:jc w:val="both"/>
        <w:rPr>
          <w:rFonts w:asciiTheme="minorHAnsi" w:hAnsiTheme="minorHAnsi" w:cstheme="minorHAnsi"/>
          <w:b/>
          <w:color w:val="000000"/>
          <w:sz w:val="24"/>
          <w:szCs w:val="24"/>
        </w:rPr>
      </w:pPr>
      <w:r w:rsidRPr="004E7326">
        <w:rPr>
          <w:rFonts w:asciiTheme="minorHAnsi" w:hAnsiTheme="minorHAnsi" w:cstheme="minorHAnsi"/>
          <w:sz w:val="24"/>
          <w:szCs w:val="24"/>
        </w:rPr>
        <w:t xml:space="preserve">Pour pallier ces insuffisances et afin de disposer d’informations fiables, détaillées et actuelles sur la situation réelle dans les zones potentielles d’intervention en lien avec les indicateurs du projet,  il est indispensable de mener cette enquête de perception initiale auprès des structures impliquées dans la mise en œuvre du projet à travers ces trois résultants stratégiques : </w:t>
      </w:r>
      <w:bookmarkStart w:id="2" w:name="_Hlk99752099"/>
      <w:r w:rsidRPr="004E7326">
        <w:rPr>
          <w:rFonts w:asciiTheme="minorHAnsi" w:hAnsiTheme="minorHAnsi" w:cstheme="minorHAnsi"/>
          <w:sz w:val="24"/>
          <w:szCs w:val="24"/>
        </w:rPr>
        <w:t xml:space="preserve"> (i)</w:t>
      </w:r>
      <w:r w:rsidRPr="004E7326">
        <w:rPr>
          <w:rFonts w:asciiTheme="minorHAnsi" w:eastAsia="SimSun" w:hAnsiTheme="minorHAnsi" w:cstheme="minorHAnsi"/>
          <w:b/>
          <w:bCs/>
          <w:sz w:val="24"/>
          <w:szCs w:val="24"/>
          <w:lang w:val="fr-CA"/>
        </w:rPr>
        <w:t>La participation et la représentation des femmes et des jeunes filles dans les instances de prise de décision au niveau local et national sont renforcées pendant et après la transition</w:t>
      </w:r>
      <w:bookmarkEnd w:id="2"/>
      <w:r w:rsidRPr="004E7326">
        <w:rPr>
          <w:rFonts w:asciiTheme="minorHAnsi" w:eastAsia="SimSun" w:hAnsiTheme="minorHAnsi" w:cstheme="minorHAnsi"/>
          <w:b/>
          <w:bCs/>
          <w:sz w:val="24"/>
          <w:szCs w:val="24"/>
        </w:rPr>
        <w:t>, (ii)</w:t>
      </w:r>
      <w:r w:rsidRPr="004E7326">
        <w:rPr>
          <w:rFonts w:asciiTheme="minorHAnsi" w:eastAsia="SimSun" w:hAnsiTheme="minorHAnsi" w:cstheme="minorHAnsi"/>
          <w:b/>
          <w:bCs/>
          <w:sz w:val="24"/>
          <w:szCs w:val="24"/>
          <w:lang w:val="fr-CA"/>
        </w:rPr>
        <w:t xml:space="preserve"> Les femmes et les jeunes filles contribuent à l’instauration d’un climat de confiance, de cohésion sociale et la culture de non-violence autour des initiatives communautaires d’autonomisation contribuant à la consolidation de la paix et </w:t>
      </w:r>
      <w:r w:rsidRPr="004E7326">
        <w:rPr>
          <w:rFonts w:asciiTheme="minorHAnsi" w:eastAsia="SimSun" w:hAnsiTheme="minorHAnsi" w:cstheme="minorHAnsi"/>
          <w:b/>
          <w:bCs/>
          <w:sz w:val="24"/>
          <w:szCs w:val="24"/>
        </w:rPr>
        <w:t>(iii)</w:t>
      </w:r>
      <w:r w:rsidRPr="004E7326">
        <w:rPr>
          <w:rFonts w:asciiTheme="minorHAnsi" w:eastAsia="SimSun" w:hAnsiTheme="minorHAnsi" w:cstheme="minorHAnsi"/>
          <w:b/>
          <w:bCs/>
          <w:sz w:val="24"/>
          <w:szCs w:val="24"/>
          <w:lang w:val="fr-CA"/>
        </w:rPr>
        <w:t xml:space="preserve"> les violences faites aux femmes et jeunes filles en politique et aux organisations de défense des droits des femmes et des jeunes filles sont réduites, </w:t>
      </w:r>
    </w:p>
    <w:p w:rsidR="0070089A" w:rsidRPr="004E7326" w:rsidRDefault="0070089A" w:rsidP="0070089A">
      <w:pPr>
        <w:spacing w:line="276" w:lineRule="auto"/>
        <w:jc w:val="both"/>
        <w:rPr>
          <w:rFonts w:asciiTheme="minorHAnsi" w:hAnsiTheme="minorHAnsi" w:cstheme="minorHAnsi"/>
          <w:b/>
          <w:color w:val="000000"/>
          <w:sz w:val="24"/>
          <w:szCs w:val="24"/>
        </w:rPr>
      </w:pPr>
    </w:p>
    <w:p w:rsidR="0070089A" w:rsidRPr="002D631D" w:rsidRDefault="0070089A" w:rsidP="002D631D">
      <w:pPr>
        <w:pStyle w:val="ListParagraph"/>
        <w:numPr>
          <w:ilvl w:val="0"/>
          <w:numId w:val="47"/>
        </w:numPr>
        <w:tabs>
          <w:tab w:val="left" w:pos="284"/>
        </w:tabs>
        <w:spacing w:before="240"/>
        <w:jc w:val="both"/>
        <w:rPr>
          <w:rFonts w:asciiTheme="minorHAnsi" w:hAnsiTheme="minorHAnsi" w:cstheme="minorHAnsi"/>
          <w:b/>
          <w:sz w:val="24"/>
          <w:szCs w:val="24"/>
        </w:rPr>
      </w:pPr>
      <w:r w:rsidRPr="002D631D">
        <w:rPr>
          <w:rFonts w:asciiTheme="minorHAnsi" w:hAnsiTheme="minorHAnsi" w:cstheme="minorHAnsi"/>
          <w:b/>
          <w:sz w:val="24"/>
          <w:szCs w:val="24"/>
        </w:rPr>
        <w:t xml:space="preserve">Portée de l’étude de base </w:t>
      </w:r>
    </w:p>
    <w:p w:rsidR="0070089A" w:rsidRPr="004E7326" w:rsidRDefault="0070089A" w:rsidP="0070089A">
      <w:pPr>
        <w:spacing w:line="276" w:lineRule="auto"/>
        <w:jc w:val="both"/>
        <w:rPr>
          <w:rStyle w:val="section"/>
          <w:rFonts w:asciiTheme="minorHAnsi" w:hAnsiTheme="minorHAnsi" w:cstheme="minorHAnsi"/>
        </w:rPr>
      </w:pPr>
      <w:r w:rsidRPr="004E7326">
        <w:rPr>
          <w:rStyle w:val="section"/>
          <w:rFonts w:asciiTheme="minorHAnsi" w:hAnsiTheme="minorHAnsi" w:cstheme="minorHAnsi"/>
        </w:rPr>
        <w:t xml:space="preserve">L’étude sera réalisée dans les 8 régions </w:t>
      </w:r>
      <w:r w:rsidR="0074303B" w:rsidRPr="004E7326">
        <w:rPr>
          <w:rStyle w:val="section"/>
          <w:rFonts w:asciiTheme="minorHAnsi" w:hAnsiTheme="minorHAnsi" w:cstheme="minorHAnsi"/>
        </w:rPr>
        <w:t>et 33</w:t>
      </w:r>
      <w:r w:rsidR="00B959CF" w:rsidRPr="004E7326">
        <w:rPr>
          <w:rStyle w:val="section"/>
          <w:rFonts w:asciiTheme="minorHAnsi" w:hAnsiTheme="minorHAnsi" w:cstheme="minorHAnsi"/>
        </w:rPr>
        <w:t xml:space="preserve"> </w:t>
      </w:r>
      <w:r w:rsidRPr="004E7326">
        <w:rPr>
          <w:rStyle w:val="section"/>
          <w:rFonts w:asciiTheme="minorHAnsi" w:hAnsiTheme="minorHAnsi" w:cstheme="minorHAnsi"/>
        </w:rPr>
        <w:t>départements bénéficiaires du projet. Les différents groupes des bénéficiaires directs et indirects du projet seront enquêtés sur leurs perceptions par rapport aux différents indicateurs du projet. La durée maximale de cette étude sera de 45 jours.</w:t>
      </w:r>
    </w:p>
    <w:p w:rsidR="0070089A" w:rsidRPr="004E7326" w:rsidRDefault="0070089A" w:rsidP="0070089A">
      <w:pPr>
        <w:spacing w:line="276" w:lineRule="auto"/>
        <w:jc w:val="both"/>
        <w:rPr>
          <w:rFonts w:asciiTheme="minorHAnsi" w:eastAsia="MS Mincho" w:hAnsiTheme="minorHAnsi" w:cstheme="minorHAnsi"/>
          <w:sz w:val="24"/>
          <w:szCs w:val="24"/>
        </w:rPr>
      </w:pPr>
      <w:r w:rsidRPr="004E7326">
        <w:rPr>
          <w:rStyle w:val="section"/>
          <w:rFonts w:asciiTheme="minorHAnsi" w:hAnsiTheme="minorHAnsi" w:cstheme="minorHAnsi"/>
        </w:rPr>
        <w:t xml:space="preserve"> </w:t>
      </w:r>
    </w:p>
    <w:p w:rsidR="0070089A" w:rsidRPr="002D631D" w:rsidRDefault="0070089A" w:rsidP="002D631D">
      <w:pPr>
        <w:pStyle w:val="ListParagraph"/>
        <w:numPr>
          <w:ilvl w:val="0"/>
          <w:numId w:val="47"/>
        </w:numPr>
        <w:tabs>
          <w:tab w:val="left" w:pos="284"/>
        </w:tabs>
        <w:spacing w:before="240"/>
        <w:jc w:val="both"/>
        <w:rPr>
          <w:rFonts w:asciiTheme="minorHAnsi" w:hAnsiTheme="minorHAnsi" w:cstheme="minorHAnsi"/>
          <w:b/>
          <w:sz w:val="24"/>
          <w:szCs w:val="24"/>
        </w:rPr>
      </w:pPr>
      <w:r w:rsidRPr="002D631D">
        <w:rPr>
          <w:rFonts w:asciiTheme="minorHAnsi" w:hAnsiTheme="minorHAnsi" w:cstheme="minorHAnsi"/>
          <w:b/>
          <w:sz w:val="24"/>
          <w:szCs w:val="24"/>
        </w:rPr>
        <w:t>But de l’étude (enquête de perception)</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Le processus d’analyse de la situation de référence permet de recueillir des données pour établir une base de planification ou pour permettre l’appréciation des progrès dans le cadre d'un suivi régulier et de l'évaluation des résultats de ce présent projet. En effet, sans une analyse de la situation de référence, il sera très difficile d’apprécier les progrès et changements que le projet apportera, d'identifier les meilleures pratiques à poursuivre et à hiérarchiser les domaines à renforcer.</w:t>
      </w:r>
    </w:p>
    <w:p w:rsidR="0070089A" w:rsidRPr="004E7326" w:rsidRDefault="0070089A" w:rsidP="0070089A">
      <w:pPr>
        <w:spacing w:after="120" w:line="276" w:lineRule="auto"/>
        <w:jc w:val="both"/>
        <w:rPr>
          <w:rFonts w:asciiTheme="minorHAnsi" w:hAnsiTheme="minorHAnsi" w:cstheme="minorHAnsi"/>
          <w:sz w:val="24"/>
          <w:szCs w:val="24"/>
        </w:rPr>
      </w:pPr>
    </w:p>
    <w:p w:rsidR="0070089A" w:rsidRPr="004E7326" w:rsidRDefault="0070089A" w:rsidP="002D631D">
      <w:pPr>
        <w:pStyle w:val="ListParagraph"/>
        <w:numPr>
          <w:ilvl w:val="0"/>
          <w:numId w:val="47"/>
        </w:numPr>
        <w:tabs>
          <w:tab w:val="left" w:pos="284"/>
        </w:tabs>
        <w:spacing w:before="240"/>
        <w:contextualSpacing/>
        <w:jc w:val="both"/>
        <w:textAlignment w:val="auto"/>
        <w:rPr>
          <w:rFonts w:asciiTheme="minorHAnsi" w:hAnsiTheme="minorHAnsi" w:cstheme="minorHAnsi"/>
          <w:b/>
          <w:sz w:val="24"/>
          <w:szCs w:val="24"/>
        </w:rPr>
      </w:pPr>
      <w:r w:rsidRPr="004E7326">
        <w:rPr>
          <w:rFonts w:asciiTheme="minorHAnsi" w:hAnsiTheme="minorHAnsi" w:cstheme="minorHAnsi"/>
          <w:b/>
          <w:sz w:val="24"/>
          <w:szCs w:val="24"/>
        </w:rPr>
        <w:t>Objectifs de l’étude (enquête de perception)</w:t>
      </w:r>
    </w:p>
    <w:p w:rsidR="0070089A" w:rsidRPr="004E7326" w:rsidRDefault="0070089A" w:rsidP="0070089A">
      <w:pPr>
        <w:spacing w:after="120" w:line="276" w:lineRule="auto"/>
        <w:jc w:val="both"/>
        <w:rPr>
          <w:rFonts w:asciiTheme="minorHAnsi" w:hAnsiTheme="minorHAnsi" w:cstheme="minorHAnsi"/>
          <w:sz w:val="24"/>
          <w:szCs w:val="24"/>
        </w:rPr>
      </w:pPr>
    </w:p>
    <w:p w:rsidR="0070089A" w:rsidRPr="004E7326" w:rsidRDefault="0070089A" w:rsidP="0070089A">
      <w:pPr>
        <w:spacing w:line="276" w:lineRule="auto"/>
        <w:jc w:val="both"/>
        <w:rPr>
          <w:rStyle w:val="section"/>
          <w:rFonts w:asciiTheme="minorHAnsi" w:hAnsiTheme="minorHAnsi" w:cstheme="minorHAnsi"/>
        </w:rPr>
      </w:pPr>
      <w:r w:rsidRPr="004E7326">
        <w:rPr>
          <w:rStyle w:val="section"/>
          <w:rFonts w:asciiTheme="minorHAnsi" w:hAnsiTheme="minorHAnsi" w:cstheme="minorHAnsi"/>
        </w:rPr>
        <w:t>L’objectif général de l’étude est de renseigner la situation de base des indicateurs du projet. Il s’agit de manière spécifique de :</w:t>
      </w:r>
    </w:p>
    <w:p w:rsidR="0070089A" w:rsidRPr="004E7326" w:rsidRDefault="0070089A" w:rsidP="0070089A">
      <w:pPr>
        <w:pStyle w:val="ListParagraph"/>
        <w:numPr>
          <w:ilvl w:val="0"/>
          <w:numId w:val="37"/>
        </w:numPr>
        <w:spacing w:after="160" w:line="276" w:lineRule="auto"/>
        <w:contextualSpacing/>
        <w:jc w:val="both"/>
        <w:textAlignment w:val="auto"/>
        <w:rPr>
          <w:rFonts w:asciiTheme="minorHAnsi" w:eastAsia="MS Mincho" w:hAnsiTheme="minorHAnsi" w:cstheme="minorHAnsi"/>
          <w:sz w:val="24"/>
          <w:szCs w:val="24"/>
        </w:rPr>
      </w:pPr>
      <w:r w:rsidRPr="004E7326">
        <w:rPr>
          <w:rFonts w:asciiTheme="minorHAnsi" w:hAnsiTheme="minorHAnsi" w:cstheme="minorHAnsi"/>
          <w:sz w:val="24"/>
          <w:szCs w:val="24"/>
        </w:rPr>
        <w:t>Revoir la formulation des indicateurs du projet en s’assurant qu’ils sont SMART et proposer si nécessaire des indicateurs qualitatifs et quantitatifs pertinents pour le projet ;</w:t>
      </w:r>
    </w:p>
    <w:p w:rsidR="0070089A" w:rsidRPr="004E7326" w:rsidRDefault="0070089A" w:rsidP="0070089A">
      <w:pPr>
        <w:pStyle w:val="ListParagraph"/>
        <w:numPr>
          <w:ilvl w:val="0"/>
          <w:numId w:val="37"/>
        </w:numPr>
        <w:spacing w:after="160" w:line="276" w:lineRule="auto"/>
        <w:contextualSpacing/>
        <w:jc w:val="both"/>
        <w:textAlignment w:val="auto"/>
        <w:rPr>
          <w:rFonts w:asciiTheme="minorHAnsi" w:hAnsiTheme="minorHAnsi" w:cstheme="minorHAnsi"/>
          <w:sz w:val="24"/>
          <w:szCs w:val="24"/>
        </w:rPr>
      </w:pPr>
      <w:r w:rsidRPr="004E7326">
        <w:rPr>
          <w:rFonts w:asciiTheme="minorHAnsi" w:hAnsiTheme="minorHAnsi" w:cstheme="minorHAnsi"/>
          <w:sz w:val="24"/>
          <w:szCs w:val="24"/>
        </w:rPr>
        <w:lastRenderedPageBreak/>
        <w:t>Renseigner la situation de référence des indicateurs dans le tableau de bord des indicateurs (en catégorisant par sexe et par âges) et proposer des cibles réalistes ou réajuster celles qui étaient définies pendant la conception du projet, en proposant une matrice de suivi des indicateurs faisant ressortir les cibles, les périodes et responsables de renseignement, les méthodes/techniques de collecte des données, les sources de données ainsi que des supports de gestion et de stockage des informations sur la performance du projet (ci-joint en annexe un canevas de matrice de suivi)</w:t>
      </w:r>
    </w:p>
    <w:p w:rsidR="0070089A" w:rsidRPr="004E7326" w:rsidRDefault="0070089A" w:rsidP="0070089A">
      <w:pPr>
        <w:pStyle w:val="ListParagraph"/>
        <w:numPr>
          <w:ilvl w:val="0"/>
          <w:numId w:val="37"/>
        </w:numPr>
        <w:spacing w:after="160" w:line="276" w:lineRule="auto"/>
        <w:contextualSpacing/>
        <w:jc w:val="both"/>
        <w:textAlignment w:val="auto"/>
        <w:rPr>
          <w:rFonts w:asciiTheme="minorHAnsi" w:hAnsiTheme="minorHAnsi" w:cstheme="minorHAnsi"/>
          <w:sz w:val="24"/>
          <w:szCs w:val="24"/>
        </w:rPr>
      </w:pPr>
      <w:r w:rsidRPr="004E7326">
        <w:rPr>
          <w:rFonts w:asciiTheme="minorHAnsi" w:hAnsiTheme="minorHAnsi" w:cstheme="minorHAnsi"/>
          <w:sz w:val="24"/>
          <w:szCs w:val="24"/>
        </w:rPr>
        <w:t>Recueillir la perception des communautés sur la participation des femmes et jeunes filles dans les instances de prise de décision, sur l’instauration d’un climat de confiance, de cohésion sociale et la culture de non-violence et sur les violences faites aux femmes et jeunes filles en politique</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D’une manière spécifique, l’étude cherche à renseigner la situation de référence des indicateurs du projet </w:t>
      </w:r>
      <w:r w:rsidRPr="004E7326">
        <w:rPr>
          <w:rFonts w:asciiTheme="minorHAnsi" w:hAnsiTheme="minorHAnsi" w:cstheme="minorHAnsi"/>
          <w:b/>
          <w:color w:val="000000"/>
          <w:sz w:val="24"/>
          <w:szCs w:val="24"/>
        </w:rPr>
        <w:t>“</w:t>
      </w:r>
      <w:r w:rsidRPr="004E7326">
        <w:rPr>
          <w:rFonts w:asciiTheme="minorHAnsi" w:hAnsiTheme="minorHAnsi" w:cstheme="minorHAnsi"/>
          <w:b/>
          <w:sz w:val="24"/>
          <w:szCs w:val="24"/>
          <w:lang w:val="fr-CA"/>
        </w:rPr>
        <w:t>Appui à la participation des femmes pour une transition inclusive et apaisée en République de Guinée</w:t>
      </w:r>
      <w:r w:rsidRPr="004E7326">
        <w:rPr>
          <w:rFonts w:asciiTheme="minorHAnsi" w:hAnsiTheme="minorHAnsi" w:cstheme="minorHAnsi"/>
          <w:b/>
          <w:sz w:val="24"/>
          <w:szCs w:val="24"/>
        </w:rPr>
        <w:t xml:space="preserve"> </w:t>
      </w:r>
      <w:bookmarkStart w:id="3" w:name="_GoBack"/>
      <w:bookmarkEnd w:id="3"/>
      <w:r w:rsidR="00BF6AC3" w:rsidRPr="004E7326">
        <w:rPr>
          <w:rFonts w:asciiTheme="minorHAnsi" w:hAnsiTheme="minorHAnsi" w:cstheme="minorHAnsi"/>
          <w:b/>
          <w:sz w:val="24"/>
          <w:szCs w:val="24"/>
        </w:rPr>
        <w:t>”</w:t>
      </w:r>
      <w:r w:rsidR="00BF6AC3" w:rsidRPr="004E7326">
        <w:rPr>
          <w:rFonts w:asciiTheme="minorHAnsi" w:hAnsiTheme="minorHAnsi" w:cstheme="minorHAnsi"/>
          <w:sz w:val="24"/>
          <w:szCs w:val="24"/>
        </w:rPr>
        <w:t xml:space="preserve"> dont</w:t>
      </w:r>
      <w:r w:rsidRPr="004E7326">
        <w:rPr>
          <w:rFonts w:asciiTheme="minorHAnsi" w:hAnsiTheme="minorHAnsi" w:cstheme="minorHAnsi"/>
          <w:sz w:val="24"/>
          <w:szCs w:val="24"/>
        </w:rPr>
        <w:t xml:space="preserve"> l’étude cherche à renseigner la situation de référence des indicateurs sont suivants répartis par résultats (effets) et produits associés aux indicateurs (voir la matrice des indicateurs dans la revue documentaire) :</w:t>
      </w:r>
    </w:p>
    <w:p w:rsidR="0070089A" w:rsidRPr="004E7326" w:rsidRDefault="0070089A" w:rsidP="0070089A">
      <w:pPr>
        <w:spacing w:line="276" w:lineRule="auto"/>
        <w:jc w:val="both"/>
        <w:rPr>
          <w:rFonts w:asciiTheme="minorHAnsi" w:hAnsiTheme="minorHAnsi" w:cstheme="minorHAnsi"/>
          <w:sz w:val="24"/>
          <w:szCs w:val="24"/>
        </w:rPr>
      </w:pPr>
    </w:p>
    <w:p w:rsidR="0070089A" w:rsidRPr="004E7326" w:rsidRDefault="0070089A" w:rsidP="0070089A">
      <w:pPr>
        <w:spacing w:line="276" w:lineRule="auto"/>
        <w:jc w:val="both"/>
        <w:rPr>
          <w:rFonts w:asciiTheme="minorHAnsi" w:eastAsia="SimSun" w:hAnsiTheme="minorHAnsi" w:cstheme="minorHAnsi"/>
          <w:b/>
          <w:bCs/>
          <w:sz w:val="24"/>
          <w:szCs w:val="24"/>
          <w:lang w:val="fr-CA"/>
        </w:rPr>
      </w:pPr>
      <w:r w:rsidRPr="004E7326">
        <w:rPr>
          <w:rFonts w:asciiTheme="minorHAnsi" w:eastAsia="SimSun" w:hAnsiTheme="minorHAnsi" w:cstheme="minorHAnsi"/>
          <w:b/>
          <w:bCs/>
          <w:sz w:val="24"/>
          <w:szCs w:val="24"/>
          <w:lang w:val="fr-CA"/>
        </w:rPr>
        <w:t>Résultat 1 : La participation et la représentation des femmes et des jeunes filles dans les instances de prise de décision au niveau local et national sont renforcées pendant et après la transition</w:t>
      </w:r>
    </w:p>
    <w:p w:rsidR="0070089A" w:rsidRPr="004E7326" w:rsidRDefault="0070089A" w:rsidP="0070089A">
      <w:pPr>
        <w:spacing w:line="276" w:lineRule="auto"/>
        <w:jc w:val="both"/>
        <w:rPr>
          <w:rFonts w:asciiTheme="minorHAnsi" w:eastAsia="SimSun" w:hAnsiTheme="minorHAnsi" w:cstheme="minorHAnsi"/>
          <w:b/>
          <w:bCs/>
          <w:sz w:val="24"/>
          <w:szCs w:val="24"/>
          <w:lang w:val="fr-CA"/>
        </w:rPr>
      </w:pPr>
    </w:p>
    <w:p w:rsidR="0070089A" w:rsidRPr="004E7326" w:rsidRDefault="0070089A" w:rsidP="0070089A">
      <w:pPr>
        <w:spacing w:line="276" w:lineRule="auto"/>
        <w:jc w:val="both"/>
        <w:rPr>
          <w:rFonts w:asciiTheme="minorHAnsi" w:eastAsia="SimSun" w:hAnsiTheme="minorHAnsi" w:cstheme="minorHAnsi"/>
          <w:bCs/>
          <w:i/>
          <w:sz w:val="24"/>
          <w:szCs w:val="24"/>
          <w:lang w:val="fr-CA"/>
        </w:rPr>
      </w:pPr>
      <w:r w:rsidRPr="004E7326">
        <w:rPr>
          <w:rFonts w:asciiTheme="minorHAnsi" w:eastAsia="SimSun" w:hAnsiTheme="minorHAnsi" w:cstheme="minorHAnsi"/>
          <w:b/>
          <w:bCs/>
          <w:i/>
          <w:sz w:val="24"/>
          <w:szCs w:val="24"/>
          <w:lang w:val="fr-CA"/>
        </w:rPr>
        <w:t xml:space="preserve">Produit 1.1 : </w:t>
      </w:r>
      <w:bookmarkStart w:id="4" w:name="_Hlk99752163"/>
      <w:r w:rsidRPr="004E7326">
        <w:rPr>
          <w:rFonts w:asciiTheme="minorHAnsi" w:eastAsia="SimSun" w:hAnsiTheme="minorHAnsi" w:cstheme="minorHAnsi"/>
          <w:bCs/>
          <w:i/>
          <w:sz w:val="24"/>
          <w:szCs w:val="24"/>
          <w:lang w:val="fr-CA"/>
        </w:rPr>
        <w:t>Le leadership de 2 000 femmes et jeunes filles engagées en politique et dans la société civile, y compris du CNT ainsi que leurs organisations est renforcé</w:t>
      </w:r>
      <w:bookmarkEnd w:id="4"/>
    </w:p>
    <w:p w:rsidR="0070089A" w:rsidRPr="004E7326" w:rsidRDefault="0070089A" w:rsidP="0070089A">
      <w:pPr>
        <w:spacing w:line="276" w:lineRule="auto"/>
        <w:jc w:val="both"/>
        <w:rPr>
          <w:rFonts w:asciiTheme="minorHAnsi" w:eastAsia="SimSun" w:hAnsiTheme="minorHAnsi" w:cstheme="minorHAnsi"/>
          <w:bCs/>
          <w:i/>
          <w:sz w:val="24"/>
          <w:szCs w:val="24"/>
          <w:lang w:val="fr-CA"/>
        </w:rPr>
      </w:pPr>
    </w:p>
    <w:p w:rsidR="0070089A" w:rsidRPr="004E7326" w:rsidRDefault="0070089A" w:rsidP="0070089A">
      <w:pPr>
        <w:spacing w:line="276" w:lineRule="auto"/>
        <w:jc w:val="both"/>
        <w:rPr>
          <w:rFonts w:asciiTheme="minorHAnsi" w:eastAsia="SimSun" w:hAnsiTheme="minorHAnsi" w:cstheme="minorHAnsi"/>
          <w:bCs/>
          <w:i/>
          <w:sz w:val="24"/>
          <w:szCs w:val="24"/>
          <w:lang w:val="fr-CA"/>
        </w:rPr>
      </w:pPr>
      <w:r w:rsidRPr="004E7326">
        <w:rPr>
          <w:rFonts w:asciiTheme="minorHAnsi" w:eastAsia="SimSun" w:hAnsiTheme="minorHAnsi" w:cstheme="minorHAnsi"/>
          <w:b/>
          <w:bCs/>
          <w:i/>
          <w:sz w:val="24"/>
          <w:szCs w:val="24"/>
          <w:lang w:val="fr-CA"/>
        </w:rPr>
        <w:t>Produit 1.2.</w:t>
      </w:r>
      <w:r w:rsidRPr="004E7326">
        <w:rPr>
          <w:rFonts w:asciiTheme="minorHAnsi" w:eastAsia="SimSun" w:hAnsiTheme="minorHAnsi" w:cstheme="minorHAnsi"/>
          <w:bCs/>
          <w:i/>
          <w:sz w:val="24"/>
          <w:szCs w:val="24"/>
          <w:lang w:val="fr-CA"/>
        </w:rPr>
        <w:t xml:space="preserve"> Une plateforme nationale constituée de réseaux et organisations des femmes et filles jouant un rôle fédérateur des femmes de toute sensibilité confondue est mise en place. </w:t>
      </w:r>
    </w:p>
    <w:p w:rsidR="0070089A" w:rsidRPr="004E7326" w:rsidRDefault="0070089A" w:rsidP="0070089A">
      <w:pPr>
        <w:spacing w:line="276" w:lineRule="auto"/>
        <w:jc w:val="both"/>
        <w:rPr>
          <w:rFonts w:asciiTheme="minorHAnsi" w:eastAsia="SimSun" w:hAnsiTheme="minorHAnsi" w:cstheme="minorHAnsi"/>
          <w:bCs/>
          <w:i/>
          <w:sz w:val="24"/>
          <w:szCs w:val="24"/>
          <w:lang w:val="fr-CA"/>
        </w:rPr>
      </w:pPr>
    </w:p>
    <w:p w:rsidR="0070089A" w:rsidRPr="004E7326" w:rsidRDefault="0070089A" w:rsidP="0070089A">
      <w:pPr>
        <w:spacing w:line="276" w:lineRule="auto"/>
        <w:jc w:val="both"/>
        <w:rPr>
          <w:rFonts w:asciiTheme="minorHAnsi" w:eastAsia="MS Mincho" w:hAnsiTheme="minorHAnsi" w:cstheme="minorHAnsi"/>
          <w:i/>
          <w:sz w:val="24"/>
          <w:szCs w:val="24"/>
        </w:rPr>
      </w:pPr>
      <w:r w:rsidRPr="004E7326">
        <w:rPr>
          <w:rFonts w:asciiTheme="minorHAnsi" w:eastAsia="SimSun" w:hAnsiTheme="minorHAnsi" w:cstheme="minorHAnsi"/>
          <w:b/>
          <w:bCs/>
          <w:i/>
          <w:sz w:val="24"/>
          <w:szCs w:val="24"/>
          <w:lang w:val="fr-CA"/>
        </w:rPr>
        <w:t>Produit 1.3.</w:t>
      </w:r>
      <w:r w:rsidRPr="004E7326">
        <w:rPr>
          <w:rFonts w:asciiTheme="minorHAnsi" w:eastAsia="SimSun" w:hAnsiTheme="minorHAnsi" w:cstheme="minorHAnsi"/>
          <w:bCs/>
          <w:i/>
          <w:sz w:val="24"/>
          <w:szCs w:val="24"/>
          <w:lang w:val="fr-CA"/>
        </w:rPr>
        <w:t xml:space="preserve"> </w:t>
      </w:r>
      <w:r w:rsidRPr="004E7326">
        <w:rPr>
          <w:rFonts w:asciiTheme="minorHAnsi" w:hAnsiTheme="minorHAnsi" w:cstheme="minorHAnsi"/>
          <w:i/>
          <w:sz w:val="24"/>
          <w:szCs w:val="24"/>
        </w:rPr>
        <w:t>La participation des femmes à toutes les étapes du processus de la transition est renforcée.</w:t>
      </w:r>
    </w:p>
    <w:p w:rsidR="0070089A" w:rsidRPr="004E7326" w:rsidRDefault="0070089A" w:rsidP="0070089A">
      <w:pPr>
        <w:spacing w:line="276" w:lineRule="auto"/>
        <w:jc w:val="both"/>
        <w:rPr>
          <w:rFonts w:asciiTheme="minorHAnsi" w:hAnsiTheme="minorHAnsi" w:cstheme="minorHAnsi"/>
          <w:i/>
          <w:sz w:val="24"/>
          <w:szCs w:val="24"/>
        </w:rPr>
      </w:pPr>
    </w:p>
    <w:p w:rsidR="0070089A" w:rsidRPr="004E7326" w:rsidRDefault="0070089A" w:rsidP="0070089A">
      <w:pPr>
        <w:widowControl w:val="0"/>
        <w:autoSpaceDE w:val="0"/>
        <w:autoSpaceDN w:val="0"/>
        <w:adjustRightInd w:val="0"/>
        <w:spacing w:line="276" w:lineRule="auto"/>
        <w:ind w:right="-22"/>
        <w:jc w:val="both"/>
        <w:rPr>
          <w:rFonts w:asciiTheme="minorHAnsi" w:eastAsia="SimSun" w:hAnsiTheme="minorHAnsi" w:cstheme="minorHAnsi"/>
          <w:bCs/>
          <w:i/>
          <w:iCs/>
          <w:sz w:val="24"/>
          <w:szCs w:val="24"/>
          <w:lang w:val="fr-CA"/>
        </w:rPr>
      </w:pPr>
      <w:r w:rsidRPr="004E7326">
        <w:rPr>
          <w:rFonts w:asciiTheme="minorHAnsi" w:eastAsia="SimSun" w:hAnsiTheme="minorHAnsi" w:cstheme="minorHAnsi"/>
          <w:b/>
          <w:bCs/>
          <w:i/>
          <w:iCs/>
          <w:sz w:val="24"/>
          <w:szCs w:val="24"/>
          <w:lang w:val="fr-CA"/>
        </w:rPr>
        <w:t>Produit 1.4</w:t>
      </w:r>
      <w:r w:rsidRPr="004E7326">
        <w:rPr>
          <w:rFonts w:asciiTheme="minorHAnsi" w:eastAsia="SimSun" w:hAnsiTheme="minorHAnsi" w:cstheme="minorHAnsi"/>
          <w:bCs/>
          <w:i/>
          <w:iCs/>
          <w:sz w:val="24"/>
          <w:szCs w:val="24"/>
          <w:lang w:val="fr-CA"/>
        </w:rPr>
        <w:t xml:space="preserve">. Les capacités des femmes et jeunes filles (18-35 ans) membres des organes dirigeants de la transition et de la société civile sont renforcées en matière de plaidoyer pour des allocations budgétaires sensibles au genre </w:t>
      </w:r>
    </w:p>
    <w:p w:rsidR="0070089A" w:rsidRPr="004E7326" w:rsidRDefault="0070089A" w:rsidP="0070089A">
      <w:pPr>
        <w:widowControl w:val="0"/>
        <w:autoSpaceDE w:val="0"/>
        <w:autoSpaceDN w:val="0"/>
        <w:adjustRightInd w:val="0"/>
        <w:spacing w:line="276" w:lineRule="auto"/>
        <w:ind w:right="-22"/>
        <w:jc w:val="both"/>
        <w:rPr>
          <w:rFonts w:asciiTheme="minorHAnsi" w:eastAsia="MS Mincho" w:hAnsiTheme="minorHAnsi" w:cstheme="minorHAnsi"/>
          <w:i/>
          <w:iCs/>
          <w:sz w:val="24"/>
          <w:szCs w:val="24"/>
          <w:lang w:val="fr-CA"/>
        </w:rPr>
      </w:pPr>
    </w:p>
    <w:p w:rsidR="0070089A" w:rsidRPr="004E7326" w:rsidRDefault="0070089A" w:rsidP="0070089A">
      <w:pPr>
        <w:spacing w:after="114" w:line="276" w:lineRule="auto"/>
        <w:ind w:right="288"/>
        <w:jc w:val="both"/>
        <w:rPr>
          <w:rFonts w:asciiTheme="minorHAnsi" w:eastAsia="SimSun" w:hAnsiTheme="minorHAnsi" w:cstheme="minorHAnsi"/>
          <w:b/>
          <w:bCs/>
          <w:sz w:val="24"/>
          <w:szCs w:val="24"/>
          <w:u w:val="single"/>
          <w:lang w:val="fr-CA"/>
        </w:rPr>
      </w:pPr>
      <w:r w:rsidRPr="004E7326">
        <w:rPr>
          <w:rFonts w:asciiTheme="minorHAnsi" w:eastAsia="SimSun" w:hAnsiTheme="minorHAnsi" w:cstheme="minorHAnsi"/>
          <w:b/>
          <w:bCs/>
          <w:sz w:val="24"/>
          <w:szCs w:val="24"/>
          <w:lang w:val="fr-CA"/>
        </w:rPr>
        <w:t>Résultat 2 : Les femmes et les jeunes filles contribuent à l’instauration d’un climat de confiance, de cohésion sociale et la culture de non-violence autour des initiatives communautaires d’autonomisation contribuant à la consolidation de la paix</w:t>
      </w:r>
      <w:r w:rsidRPr="004E7326">
        <w:rPr>
          <w:rFonts w:asciiTheme="minorHAnsi" w:eastAsia="SimSun" w:hAnsiTheme="minorHAnsi" w:cstheme="minorHAnsi"/>
          <w:b/>
          <w:bCs/>
          <w:sz w:val="24"/>
          <w:szCs w:val="24"/>
          <w:lang w:val="fr-CA"/>
        </w:rPr>
        <w:br/>
      </w:r>
    </w:p>
    <w:p w:rsidR="0070089A" w:rsidRPr="004E7326" w:rsidRDefault="0070089A" w:rsidP="0070089A">
      <w:pPr>
        <w:spacing w:after="114" w:line="276" w:lineRule="auto"/>
        <w:ind w:right="288"/>
        <w:jc w:val="both"/>
        <w:rPr>
          <w:rFonts w:asciiTheme="minorHAnsi" w:eastAsia="SimSun" w:hAnsiTheme="minorHAnsi" w:cstheme="minorHAnsi"/>
          <w:bCs/>
          <w:i/>
          <w:sz w:val="24"/>
          <w:szCs w:val="24"/>
          <w:lang w:val="fr-CA"/>
        </w:rPr>
      </w:pPr>
      <w:r w:rsidRPr="004E7326">
        <w:rPr>
          <w:rFonts w:asciiTheme="minorHAnsi" w:eastAsia="SimSun" w:hAnsiTheme="minorHAnsi" w:cstheme="minorHAnsi"/>
          <w:b/>
          <w:bCs/>
          <w:i/>
          <w:sz w:val="24"/>
          <w:szCs w:val="24"/>
          <w:lang w:val="fr-CA"/>
        </w:rPr>
        <w:lastRenderedPageBreak/>
        <w:t>Produit 2.1 :</w:t>
      </w:r>
      <w:r w:rsidRPr="004E7326">
        <w:rPr>
          <w:rFonts w:asciiTheme="minorHAnsi" w:eastAsia="SimSun" w:hAnsiTheme="minorHAnsi" w:cstheme="minorHAnsi"/>
          <w:bCs/>
          <w:i/>
          <w:sz w:val="24"/>
          <w:szCs w:val="24"/>
          <w:lang w:val="fr-CA"/>
        </w:rPr>
        <w:t xml:space="preserve">  100 réseaux et associations de femmes et de jeunes filles sont renforcées en capacité de prévention et résolution de conflits</w:t>
      </w:r>
      <w:r w:rsidRPr="004E7326">
        <w:rPr>
          <w:rFonts w:asciiTheme="minorHAnsi" w:eastAsia="SimSun" w:hAnsiTheme="minorHAnsi" w:cstheme="minorHAnsi"/>
          <w:bCs/>
          <w:i/>
          <w:sz w:val="24"/>
          <w:szCs w:val="24"/>
        </w:rPr>
        <w:t>, en</w:t>
      </w:r>
      <w:r w:rsidRPr="004E7326">
        <w:rPr>
          <w:rFonts w:asciiTheme="minorHAnsi" w:eastAsia="SimSun" w:hAnsiTheme="minorHAnsi" w:cstheme="minorHAnsi"/>
          <w:bCs/>
          <w:i/>
          <w:sz w:val="24"/>
          <w:szCs w:val="24"/>
          <w:lang w:val="fr-CA"/>
        </w:rPr>
        <w:t xml:space="preserve"> culture de la citoyenneté et d’autonomisation </w:t>
      </w:r>
    </w:p>
    <w:p w:rsidR="0070089A" w:rsidRPr="004E7326" w:rsidRDefault="0070089A" w:rsidP="0070089A">
      <w:pPr>
        <w:spacing w:after="114" w:line="276" w:lineRule="auto"/>
        <w:ind w:right="288"/>
        <w:jc w:val="both"/>
        <w:rPr>
          <w:rFonts w:asciiTheme="minorHAnsi" w:eastAsia="SimSun" w:hAnsiTheme="minorHAnsi" w:cstheme="minorHAnsi"/>
          <w:bCs/>
          <w:i/>
          <w:sz w:val="24"/>
          <w:szCs w:val="24"/>
          <w:lang w:val="fr-CA"/>
        </w:rPr>
      </w:pPr>
      <w:r w:rsidRPr="004E7326">
        <w:rPr>
          <w:rFonts w:asciiTheme="minorHAnsi" w:eastAsia="SimSun" w:hAnsiTheme="minorHAnsi" w:cstheme="minorHAnsi"/>
          <w:b/>
          <w:i/>
          <w:sz w:val="24"/>
          <w:szCs w:val="24"/>
          <w:lang w:val="fr-CA"/>
        </w:rPr>
        <w:t>Produit 2.2</w:t>
      </w:r>
      <w:r w:rsidRPr="004E7326">
        <w:rPr>
          <w:rFonts w:asciiTheme="minorHAnsi" w:eastAsia="SimSun" w:hAnsiTheme="minorHAnsi" w:cstheme="minorHAnsi"/>
          <w:b/>
          <w:bCs/>
          <w:i/>
          <w:sz w:val="24"/>
          <w:szCs w:val="24"/>
          <w:lang w:val="fr-CA"/>
        </w:rPr>
        <w:t xml:space="preserve"> :</w:t>
      </w:r>
      <w:r w:rsidRPr="004E7326">
        <w:rPr>
          <w:rFonts w:asciiTheme="minorHAnsi" w:eastAsia="SimSun" w:hAnsiTheme="minorHAnsi" w:cstheme="minorHAnsi"/>
          <w:bCs/>
          <w:i/>
          <w:sz w:val="24"/>
          <w:szCs w:val="24"/>
          <w:lang w:val="fr-CA"/>
        </w:rPr>
        <w:t xml:space="preserve"> Les 8 structures régionales de veille sensibles au genre pour la paix et la cohésion sociale sont mises en place et fonctionnelles </w:t>
      </w:r>
    </w:p>
    <w:p w:rsidR="0070089A" w:rsidRPr="004E7326" w:rsidRDefault="0070089A" w:rsidP="0070089A">
      <w:pPr>
        <w:spacing w:after="114" w:line="276" w:lineRule="auto"/>
        <w:ind w:right="288"/>
        <w:jc w:val="both"/>
        <w:rPr>
          <w:rFonts w:asciiTheme="minorHAnsi" w:eastAsia="SimSun" w:hAnsiTheme="minorHAnsi" w:cstheme="minorHAnsi"/>
          <w:bCs/>
          <w:i/>
          <w:sz w:val="24"/>
          <w:szCs w:val="24"/>
          <w:lang w:val="fr-CA"/>
        </w:rPr>
      </w:pPr>
    </w:p>
    <w:p w:rsidR="0070089A" w:rsidRPr="004E7326" w:rsidRDefault="0070089A" w:rsidP="0070089A">
      <w:pPr>
        <w:spacing w:line="276" w:lineRule="auto"/>
        <w:jc w:val="both"/>
        <w:rPr>
          <w:rFonts w:asciiTheme="minorHAnsi" w:eastAsia="SimSun" w:hAnsiTheme="minorHAnsi" w:cstheme="minorHAnsi"/>
          <w:b/>
          <w:bCs/>
          <w:sz w:val="24"/>
          <w:szCs w:val="24"/>
        </w:rPr>
      </w:pPr>
      <w:r w:rsidRPr="004E7326">
        <w:rPr>
          <w:rFonts w:asciiTheme="minorHAnsi" w:eastAsia="SimSun" w:hAnsiTheme="minorHAnsi" w:cstheme="minorHAnsi"/>
          <w:b/>
          <w:bCs/>
          <w:sz w:val="24"/>
          <w:szCs w:val="24"/>
          <w:lang w:val="fr-CA"/>
        </w:rPr>
        <w:t xml:space="preserve">Résultat 3 : les violences faites aux femmes et jeunes filles en politique et aux organisations de défense des droits des femmes et des jeunes filles sont réduites. </w:t>
      </w:r>
    </w:p>
    <w:p w:rsidR="0070089A" w:rsidRPr="004E7326" w:rsidRDefault="0070089A" w:rsidP="0070089A">
      <w:pPr>
        <w:spacing w:line="276" w:lineRule="auto"/>
        <w:jc w:val="both"/>
        <w:rPr>
          <w:rFonts w:asciiTheme="minorHAnsi" w:eastAsia="SimSun" w:hAnsiTheme="minorHAnsi" w:cstheme="minorHAnsi"/>
          <w:b/>
          <w:bCs/>
          <w:sz w:val="24"/>
          <w:szCs w:val="24"/>
        </w:rPr>
      </w:pPr>
    </w:p>
    <w:p w:rsidR="0070089A" w:rsidRPr="004E7326" w:rsidRDefault="0070089A" w:rsidP="0070089A">
      <w:pPr>
        <w:spacing w:line="276" w:lineRule="auto"/>
        <w:jc w:val="both"/>
        <w:rPr>
          <w:rFonts w:asciiTheme="minorHAnsi" w:eastAsia="SimSun" w:hAnsiTheme="minorHAnsi" w:cstheme="minorHAnsi"/>
          <w:bCs/>
          <w:i/>
          <w:sz w:val="24"/>
          <w:szCs w:val="24"/>
          <w:lang w:val="fr-CA"/>
        </w:rPr>
      </w:pPr>
      <w:r w:rsidRPr="004E7326">
        <w:rPr>
          <w:rFonts w:asciiTheme="minorHAnsi" w:eastAsia="SimSun" w:hAnsiTheme="minorHAnsi" w:cstheme="minorHAnsi"/>
          <w:b/>
          <w:bCs/>
          <w:i/>
          <w:sz w:val="24"/>
          <w:szCs w:val="24"/>
          <w:lang w:val="fr-CA"/>
        </w:rPr>
        <w:t>Produit 3.1.</w:t>
      </w:r>
      <w:r w:rsidRPr="004E7326">
        <w:rPr>
          <w:rFonts w:asciiTheme="minorHAnsi" w:eastAsia="SimSun" w:hAnsiTheme="minorHAnsi" w:cstheme="minorHAnsi"/>
          <w:bCs/>
          <w:i/>
          <w:sz w:val="24"/>
          <w:szCs w:val="24"/>
          <w:lang w:val="fr-CA"/>
        </w:rPr>
        <w:t xml:space="preserve"> Les organes de la transition, les partis politiques, les leaders communautaires, les forces de défense et de sécurité les acteurs de la justice, les hommes/femmes et les jeunes garçons/filles s’engagent dans la lutte contre les violences et des stéréotypes à l’égard des femmes en politique et celles impliquées dans la défense des droits des femmes ainsi que de la jeune fille.</w:t>
      </w:r>
    </w:p>
    <w:p w:rsidR="0070089A" w:rsidRPr="004E7326" w:rsidRDefault="0070089A" w:rsidP="0070089A">
      <w:pPr>
        <w:spacing w:line="276" w:lineRule="auto"/>
        <w:jc w:val="both"/>
        <w:rPr>
          <w:rFonts w:asciiTheme="minorHAnsi" w:eastAsia="SimSun" w:hAnsiTheme="minorHAnsi" w:cstheme="minorHAnsi"/>
          <w:bCs/>
          <w:i/>
          <w:sz w:val="24"/>
          <w:szCs w:val="24"/>
          <w:lang w:val="fr-CA"/>
        </w:rPr>
      </w:pPr>
    </w:p>
    <w:p w:rsidR="0070089A" w:rsidRPr="004E7326" w:rsidRDefault="0070089A" w:rsidP="0070089A">
      <w:pPr>
        <w:spacing w:line="276" w:lineRule="auto"/>
        <w:jc w:val="both"/>
        <w:rPr>
          <w:rFonts w:asciiTheme="minorHAnsi" w:eastAsia="SimSun" w:hAnsiTheme="minorHAnsi" w:cstheme="minorHAnsi"/>
          <w:bCs/>
          <w:i/>
          <w:sz w:val="24"/>
          <w:szCs w:val="24"/>
          <w:lang w:val="fr-CA"/>
        </w:rPr>
      </w:pPr>
      <w:r w:rsidRPr="004E7326">
        <w:rPr>
          <w:rFonts w:asciiTheme="minorHAnsi" w:eastAsia="SimSun" w:hAnsiTheme="minorHAnsi" w:cstheme="minorHAnsi"/>
          <w:b/>
          <w:bCs/>
          <w:i/>
          <w:sz w:val="24"/>
          <w:szCs w:val="24"/>
          <w:lang w:val="fr-CA"/>
        </w:rPr>
        <w:t>Produit 3.2. </w:t>
      </w:r>
      <w:r w:rsidRPr="004E7326">
        <w:rPr>
          <w:rFonts w:asciiTheme="minorHAnsi" w:eastAsia="SimSun" w:hAnsiTheme="minorHAnsi" w:cstheme="minorHAnsi"/>
          <w:bCs/>
          <w:i/>
          <w:sz w:val="24"/>
          <w:szCs w:val="24"/>
          <w:lang w:val="fr-CA"/>
        </w:rPr>
        <w:t xml:space="preserve">: Les femmes en politique et celles engagées dans la défense des droits de la femme et de la jeune fille sont outillées pour renforcer leur résilience face aux stéréotypes </w:t>
      </w:r>
    </w:p>
    <w:p w:rsidR="0070089A" w:rsidRPr="004E7326" w:rsidRDefault="0070089A" w:rsidP="0070089A">
      <w:pPr>
        <w:spacing w:line="276" w:lineRule="auto"/>
        <w:jc w:val="both"/>
        <w:rPr>
          <w:rFonts w:asciiTheme="minorHAnsi" w:eastAsia="SimSun" w:hAnsiTheme="minorHAnsi" w:cstheme="minorHAnsi"/>
          <w:bCs/>
          <w:i/>
          <w:sz w:val="24"/>
          <w:szCs w:val="24"/>
          <w:lang w:val="fr-CA"/>
        </w:rPr>
      </w:pPr>
    </w:p>
    <w:p w:rsidR="0070089A" w:rsidRPr="004E7326" w:rsidRDefault="0070089A" w:rsidP="002D631D">
      <w:pPr>
        <w:numPr>
          <w:ilvl w:val="0"/>
          <w:numId w:val="47"/>
        </w:numPr>
        <w:tabs>
          <w:tab w:val="left" w:pos="284"/>
        </w:tabs>
        <w:spacing w:before="240"/>
        <w:jc w:val="both"/>
        <w:rPr>
          <w:rFonts w:asciiTheme="minorHAnsi" w:eastAsia="MS Mincho" w:hAnsiTheme="minorHAnsi" w:cstheme="minorHAnsi"/>
          <w:b/>
          <w:sz w:val="24"/>
          <w:szCs w:val="24"/>
        </w:rPr>
      </w:pPr>
      <w:r w:rsidRPr="004E7326">
        <w:rPr>
          <w:rFonts w:asciiTheme="minorHAnsi" w:hAnsiTheme="minorHAnsi" w:cstheme="minorHAnsi"/>
          <w:b/>
          <w:sz w:val="24"/>
          <w:szCs w:val="24"/>
        </w:rPr>
        <w:t>Utilisateurs et usage de l’étude</w:t>
      </w:r>
    </w:p>
    <w:p w:rsidR="0070089A" w:rsidRPr="004E7326" w:rsidRDefault="0070089A" w:rsidP="0070089A">
      <w:pPr>
        <w:spacing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L’enquête de perception initiale sera utilisée par l’ensemble des partenaires du projet et plus particulièrement par l’équipe de mise en œuvre du projet qui disposera de la situation de référence qui leur permettra d’apprécier les changements opérés dans les communautés bénéficiaires. Cette étude servira aussi de base pour la conception des nouveaux projets en Guinée. </w:t>
      </w:r>
    </w:p>
    <w:p w:rsidR="0070089A" w:rsidRPr="004E7326" w:rsidRDefault="0070089A" w:rsidP="002D631D">
      <w:pPr>
        <w:numPr>
          <w:ilvl w:val="0"/>
          <w:numId w:val="47"/>
        </w:numPr>
        <w:tabs>
          <w:tab w:val="left" w:pos="284"/>
        </w:tabs>
        <w:spacing w:before="240" w:line="276" w:lineRule="auto"/>
        <w:jc w:val="both"/>
        <w:rPr>
          <w:rFonts w:asciiTheme="minorHAnsi" w:eastAsia="Arial" w:hAnsiTheme="minorHAnsi" w:cstheme="minorHAnsi"/>
          <w:color w:val="000000"/>
          <w:sz w:val="24"/>
          <w:szCs w:val="24"/>
        </w:rPr>
      </w:pPr>
      <w:r w:rsidRPr="004E7326">
        <w:rPr>
          <w:rFonts w:asciiTheme="minorHAnsi" w:hAnsiTheme="minorHAnsi" w:cstheme="minorHAnsi"/>
          <w:b/>
          <w:sz w:val="24"/>
          <w:szCs w:val="24"/>
        </w:rPr>
        <w:t>Questions de l’étude</w:t>
      </w:r>
    </w:p>
    <w:p w:rsidR="0070089A" w:rsidRPr="004E7326" w:rsidRDefault="0070089A" w:rsidP="0070089A">
      <w:pPr>
        <w:tabs>
          <w:tab w:val="left" w:pos="284"/>
        </w:tabs>
        <w:spacing w:before="240" w:line="276" w:lineRule="auto"/>
        <w:jc w:val="both"/>
        <w:rPr>
          <w:rFonts w:asciiTheme="minorHAnsi" w:eastAsia="Arial" w:hAnsiTheme="minorHAnsi" w:cstheme="minorHAnsi"/>
          <w:color w:val="000000"/>
          <w:sz w:val="24"/>
          <w:szCs w:val="24"/>
        </w:rPr>
      </w:pPr>
      <w:r w:rsidRPr="004E7326">
        <w:rPr>
          <w:rFonts w:asciiTheme="minorHAnsi" w:eastAsia="Arial" w:hAnsiTheme="minorHAnsi" w:cstheme="minorHAnsi"/>
          <w:color w:val="000000"/>
          <w:sz w:val="24"/>
          <w:szCs w:val="24"/>
        </w:rPr>
        <w:t>Quelques propositions de questions sur lesquelles l’étude sera menée:</w:t>
      </w:r>
    </w:p>
    <w:p w:rsidR="0070089A" w:rsidRPr="004E7326" w:rsidRDefault="0070089A" w:rsidP="0070089A">
      <w:pPr>
        <w:tabs>
          <w:tab w:val="left" w:pos="284"/>
        </w:tabs>
        <w:spacing w:before="240" w:line="276" w:lineRule="auto"/>
        <w:jc w:val="both"/>
        <w:rPr>
          <w:rStyle w:val="section"/>
          <w:rFonts w:asciiTheme="minorHAnsi" w:hAnsiTheme="minorHAnsi" w:cstheme="minorHAnsi"/>
        </w:rPr>
      </w:pPr>
      <w:r w:rsidRPr="004E7326">
        <w:rPr>
          <w:rStyle w:val="section"/>
          <w:rFonts w:asciiTheme="minorHAnsi" w:hAnsiTheme="minorHAnsi" w:cstheme="minorHAnsi"/>
        </w:rPr>
        <w:t>Q1. Quel est niveau de représentativité des femmes et filles dans les postes de prises de décisions politiques (électifs et nominatifs)?</w:t>
      </w:r>
    </w:p>
    <w:p w:rsidR="0070089A" w:rsidRPr="004E7326" w:rsidRDefault="0070089A" w:rsidP="0070089A">
      <w:pPr>
        <w:tabs>
          <w:tab w:val="left" w:pos="284"/>
        </w:tabs>
        <w:spacing w:before="240" w:line="276" w:lineRule="auto"/>
        <w:jc w:val="both"/>
        <w:rPr>
          <w:rStyle w:val="section"/>
          <w:rFonts w:asciiTheme="minorHAnsi" w:hAnsiTheme="minorHAnsi" w:cstheme="minorHAnsi"/>
        </w:rPr>
      </w:pPr>
      <w:r w:rsidRPr="004E7326">
        <w:rPr>
          <w:rStyle w:val="section"/>
          <w:rFonts w:asciiTheme="minorHAnsi" w:hAnsiTheme="minorHAnsi" w:cstheme="minorHAnsi"/>
        </w:rPr>
        <w:t>Q2: Quelles sont les capacités que disposent les femmes et les filles pour une meilleure participation à la transition ?</w:t>
      </w:r>
    </w:p>
    <w:p w:rsidR="0070089A" w:rsidRPr="004E7326" w:rsidRDefault="0070089A" w:rsidP="0070089A">
      <w:pPr>
        <w:spacing w:line="276" w:lineRule="auto"/>
        <w:jc w:val="both"/>
        <w:rPr>
          <w:rStyle w:val="section"/>
          <w:rFonts w:asciiTheme="minorHAnsi" w:hAnsiTheme="minorHAnsi" w:cstheme="minorHAnsi"/>
        </w:rPr>
      </w:pPr>
    </w:p>
    <w:p w:rsidR="0070089A" w:rsidRPr="004E7326" w:rsidRDefault="0070089A" w:rsidP="0070089A">
      <w:pPr>
        <w:spacing w:line="276" w:lineRule="auto"/>
        <w:jc w:val="both"/>
        <w:rPr>
          <w:rStyle w:val="section"/>
          <w:rFonts w:asciiTheme="minorHAnsi" w:hAnsiTheme="minorHAnsi" w:cstheme="minorHAnsi"/>
        </w:rPr>
      </w:pPr>
      <w:r w:rsidRPr="004E7326">
        <w:rPr>
          <w:rStyle w:val="section"/>
          <w:rFonts w:asciiTheme="minorHAnsi" w:hAnsiTheme="minorHAnsi" w:cstheme="minorHAnsi"/>
        </w:rPr>
        <w:t>Q3: Quel est le niveau de participation des femmes et filles dans la résolution pacifique des conflits au sein de leurs communautés</w:t>
      </w:r>
    </w:p>
    <w:p w:rsidR="0070089A" w:rsidRPr="004E7326" w:rsidRDefault="0070089A" w:rsidP="0070089A">
      <w:pPr>
        <w:spacing w:line="276" w:lineRule="auto"/>
        <w:jc w:val="both"/>
        <w:rPr>
          <w:rStyle w:val="section"/>
          <w:rFonts w:asciiTheme="minorHAnsi" w:hAnsiTheme="minorHAnsi" w:cstheme="minorHAnsi"/>
        </w:rPr>
      </w:pPr>
      <w:r w:rsidRPr="004E7326">
        <w:rPr>
          <w:rStyle w:val="section"/>
          <w:rFonts w:asciiTheme="minorHAnsi" w:hAnsiTheme="minorHAnsi" w:cstheme="minorHAnsi"/>
        </w:rPr>
        <w:t>Q4: Quelles sont les initiatives entreprises par les femmes pour fédérer leurs efforts afin de participer efficacement à la transition ?</w:t>
      </w:r>
    </w:p>
    <w:p w:rsidR="0070089A" w:rsidRPr="004E7326" w:rsidRDefault="0070089A" w:rsidP="0070089A">
      <w:pPr>
        <w:spacing w:line="276" w:lineRule="auto"/>
        <w:jc w:val="both"/>
        <w:rPr>
          <w:rStyle w:val="section"/>
          <w:rFonts w:asciiTheme="minorHAnsi" w:hAnsiTheme="minorHAnsi" w:cstheme="minorHAnsi"/>
        </w:rPr>
      </w:pPr>
      <w:r w:rsidRPr="004E7326">
        <w:rPr>
          <w:rStyle w:val="section"/>
          <w:rFonts w:asciiTheme="minorHAnsi" w:hAnsiTheme="minorHAnsi" w:cstheme="minorHAnsi"/>
        </w:rPr>
        <w:t>Q5 : Quelle est le niveau d’engagement des discussions menées par les instances de la transition concernant la lutte contre les VBG ?</w:t>
      </w:r>
    </w:p>
    <w:p w:rsidR="0070089A" w:rsidRPr="004E7326" w:rsidRDefault="0070089A" w:rsidP="0070089A">
      <w:pPr>
        <w:spacing w:line="276" w:lineRule="auto"/>
        <w:jc w:val="both"/>
        <w:rPr>
          <w:rStyle w:val="section"/>
          <w:rFonts w:asciiTheme="minorHAnsi" w:hAnsiTheme="minorHAnsi" w:cstheme="minorHAnsi"/>
        </w:rPr>
      </w:pPr>
      <w:r w:rsidRPr="004E7326">
        <w:rPr>
          <w:rStyle w:val="section"/>
          <w:rFonts w:asciiTheme="minorHAnsi" w:hAnsiTheme="minorHAnsi" w:cstheme="minorHAnsi"/>
        </w:rPr>
        <w:lastRenderedPageBreak/>
        <w:t>Q6. Quels changements attendent les bénéficiaires du projet en termes de paix et de sécurité au sein de leurs zones respectives à travers l’implication des femmes et filles ?</w:t>
      </w:r>
    </w:p>
    <w:p w:rsidR="0070089A" w:rsidRPr="004E7326" w:rsidRDefault="0070089A" w:rsidP="0070089A">
      <w:pPr>
        <w:spacing w:line="276" w:lineRule="auto"/>
        <w:jc w:val="both"/>
        <w:rPr>
          <w:rStyle w:val="section"/>
          <w:rFonts w:asciiTheme="minorHAnsi" w:hAnsiTheme="minorHAnsi" w:cstheme="minorHAnsi"/>
        </w:rPr>
      </w:pPr>
      <w:r w:rsidRPr="004E7326">
        <w:rPr>
          <w:rStyle w:val="section"/>
          <w:rFonts w:asciiTheme="minorHAnsi" w:hAnsiTheme="minorHAnsi" w:cstheme="minorHAnsi"/>
        </w:rPr>
        <w:t>Q7.</w:t>
      </w:r>
      <w:r w:rsidRPr="004E7326">
        <w:rPr>
          <w:rFonts w:asciiTheme="minorHAnsi" w:hAnsiTheme="minorHAnsi" w:cstheme="minorHAnsi"/>
          <w:sz w:val="24"/>
          <w:szCs w:val="24"/>
        </w:rPr>
        <w:t xml:space="preserve"> Quelle est </w:t>
      </w:r>
      <w:r w:rsidRPr="004E7326">
        <w:rPr>
          <w:rStyle w:val="section"/>
          <w:rFonts w:asciiTheme="minorHAnsi" w:hAnsiTheme="minorHAnsi" w:cstheme="minorHAnsi"/>
        </w:rPr>
        <w:t>la perception des communautés sur la participation des femmes et jeunes filles dans les instances de prise de décision, sur l’instauration d’un climat de confiance, de cohésion sociale et la culture de non-violence et sur les violences faites aux femmes et jeunes filles en politique</w:t>
      </w:r>
    </w:p>
    <w:p w:rsidR="0070089A" w:rsidRPr="004E7326" w:rsidRDefault="0070089A" w:rsidP="0070089A">
      <w:pPr>
        <w:spacing w:line="276" w:lineRule="auto"/>
        <w:jc w:val="both"/>
        <w:rPr>
          <w:rStyle w:val="section"/>
          <w:rFonts w:asciiTheme="minorHAnsi" w:hAnsiTheme="minorHAnsi" w:cstheme="minorHAnsi"/>
        </w:rPr>
      </w:pPr>
    </w:p>
    <w:p w:rsidR="0070089A" w:rsidRPr="002D631D" w:rsidRDefault="0070089A" w:rsidP="0070089A">
      <w:pPr>
        <w:spacing w:line="276" w:lineRule="auto"/>
        <w:jc w:val="both"/>
        <w:rPr>
          <w:rFonts w:asciiTheme="minorHAnsi" w:eastAsia="Arial" w:hAnsiTheme="minorHAnsi" w:cstheme="minorHAnsi"/>
          <w:color w:val="000000"/>
          <w:sz w:val="24"/>
          <w:szCs w:val="24"/>
        </w:rPr>
      </w:pPr>
      <w:r w:rsidRPr="004E7326">
        <w:rPr>
          <w:rStyle w:val="section"/>
          <w:rFonts w:asciiTheme="minorHAnsi" w:hAnsiTheme="minorHAnsi" w:cstheme="minorHAnsi"/>
        </w:rPr>
        <w:t xml:space="preserve">Le consultant dans sa proposition méthodologique aura la latitude de reformuler les questions et d’y ajouter de nouvelles questions dans le l’optique de couvrir tous les besoins de l’étude.    </w:t>
      </w:r>
    </w:p>
    <w:p w:rsidR="0070089A" w:rsidRPr="004E7326" w:rsidRDefault="0070089A" w:rsidP="002D631D">
      <w:pPr>
        <w:numPr>
          <w:ilvl w:val="0"/>
          <w:numId w:val="47"/>
        </w:numPr>
        <w:tabs>
          <w:tab w:val="left" w:pos="284"/>
        </w:tabs>
        <w:spacing w:before="240" w:line="276" w:lineRule="auto"/>
        <w:jc w:val="both"/>
        <w:rPr>
          <w:rFonts w:asciiTheme="minorHAnsi" w:eastAsia="MS Mincho" w:hAnsiTheme="minorHAnsi" w:cstheme="minorHAnsi"/>
          <w:b/>
          <w:sz w:val="24"/>
          <w:szCs w:val="24"/>
        </w:rPr>
      </w:pPr>
      <w:r w:rsidRPr="004E7326">
        <w:rPr>
          <w:rFonts w:asciiTheme="minorHAnsi" w:hAnsiTheme="minorHAnsi" w:cstheme="minorHAnsi"/>
          <w:b/>
          <w:sz w:val="24"/>
          <w:szCs w:val="24"/>
        </w:rPr>
        <w:t>Méthodologie</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Pour assurer une appropriation des résultats, l’exercice sera conduit à travers un processus participatif. Les principales parties prenantes seront invitées à prendre une part active à la détermination de l’approche méthodologique et des outils à utiliser.</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Le champ de l’étude est constitué par les zones ciblées d’intervention potentielle du projet spécifiquement sur l’ensemble du pays. Il comprend les 8 régions administratives intégrant les 33 préfectures du pays. </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La stratégie de collecte et d’analyse des données combinera des méthodes qualitatives et quantitatives et utilisera des sources diverses de données (à redéfinir avec le cabinet d’étude).</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L’analyse situationnelle comportera de façon non exhaustive, les principales approches suivantes :</w:t>
      </w:r>
    </w:p>
    <w:p w:rsidR="0070089A" w:rsidRPr="004E7326" w:rsidRDefault="0070089A" w:rsidP="0070089A">
      <w:pPr>
        <w:numPr>
          <w:ilvl w:val="0"/>
          <w:numId w:val="38"/>
        </w:num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Une </w:t>
      </w:r>
      <w:r w:rsidRPr="004E7326">
        <w:rPr>
          <w:rFonts w:asciiTheme="minorHAnsi" w:hAnsiTheme="minorHAnsi" w:cstheme="minorHAnsi"/>
          <w:b/>
          <w:sz w:val="24"/>
          <w:szCs w:val="24"/>
          <w:u w:val="single"/>
        </w:rPr>
        <w:t>revue</w:t>
      </w:r>
      <w:r w:rsidRPr="004E7326">
        <w:rPr>
          <w:rFonts w:asciiTheme="minorHAnsi" w:hAnsiTheme="minorHAnsi" w:cstheme="minorHAnsi"/>
          <w:sz w:val="24"/>
          <w:szCs w:val="24"/>
        </w:rPr>
        <w:t xml:space="preserve"> portant sur les principaux documents suivants pour recueillir les informations sur certains indicateurs du document du projet y compris la répartition des structures des femmes dans les instances de prises de décisions d’une part, et la prise en compte de leurs préoccupations dans les documents cadres de développement au niveau local et national d’autre part :</w:t>
      </w:r>
    </w:p>
    <w:p w:rsidR="0070089A" w:rsidRPr="004E7326" w:rsidRDefault="0070089A" w:rsidP="0070089A">
      <w:pPr>
        <w:numPr>
          <w:ilvl w:val="0"/>
          <w:numId w:val="39"/>
        </w:numPr>
        <w:spacing w:line="276" w:lineRule="auto"/>
        <w:jc w:val="both"/>
        <w:rPr>
          <w:rFonts w:asciiTheme="minorHAnsi" w:hAnsiTheme="minorHAnsi" w:cstheme="minorHAnsi"/>
          <w:color w:val="000000"/>
          <w:sz w:val="24"/>
          <w:szCs w:val="24"/>
        </w:rPr>
      </w:pPr>
      <w:r w:rsidRPr="004E7326">
        <w:rPr>
          <w:rFonts w:asciiTheme="minorHAnsi" w:hAnsiTheme="minorHAnsi" w:cstheme="minorHAnsi"/>
          <w:color w:val="000000"/>
          <w:sz w:val="24"/>
          <w:szCs w:val="24"/>
        </w:rPr>
        <w:t>Rôle des femmes et des jeunes filles leaders à la participation politique, à la gouvernance ainsi dans la prévention et la résolution des conflits des mécanismes de dialogues formelles et informelles ;</w:t>
      </w:r>
    </w:p>
    <w:p w:rsidR="0070089A" w:rsidRPr="004E7326" w:rsidRDefault="0070089A" w:rsidP="0070089A">
      <w:pPr>
        <w:numPr>
          <w:ilvl w:val="0"/>
          <w:numId w:val="39"/>
        </w:numPr>
        <w:spacing w:line="276" w:lineRule="auto"/>
        <w:jc w:val="both"/>
        <w:rPr>
          <w:rFonts w:asciiTheme="minorHAnsi" w:hAnsiTheme="minorHAnsi" w:cstheme="minorHAnsi"/>
          <w:color w:val="000000"/>
          <w:sz w:val="24"/>
          <w:szCs w:val="24"/>
        </w:rPr>
      </w:pPr>
      <w:r w:rsidRPr="004E7326">
        <w:rPr>
          <w:rFonts w:asciiTheme="minorHAnsi" w:hAnsiTheme="minorHAnsi" w:cstheme="minorHAnsi"/>
          <w:color w:val="000000"/>
          <w:sz w:val="24"/>
          <w:szCs w:val="24"/>
        </w:rPr>
        <w:t>Rôle des femmes et des jeunes femmes dans la prise de décision en milieu communautaire et urbain ;</w:t>
      </w:r>
      <w:r w:rsidRPr="004E7326">
        <w:rPr>
          <w:rFonts w:asciiTheme="minorHAnsi" w:hAnsiTheme="minorHAnsi" w:cstheme="minorHAnsi"/>
          <w:sz w:val="24"/>
          <w:szCs w:val="24"/>
        </w:rPr>
        <w:t xml:space="preserve"> </w:t>
      </w:r>
    </w:p>
    <w:p w:rsidR="0070089A" w:rsidRPr="004E7326" w:rsidRDefault="0070089A" w:rsidP="0070089A">
      <w:pPr>
        <w:numPr>
          <w:ilvl w:val="0"/>
          <w:numId w:val="39"/>
        </w:numPr>
        <w:tabs>
          <w:tab w:val="left" w:pos="284"/>
        </w:tabs>
        <w:spacing w:line="276" w:lineRule="auto"/>
        <w:jc w:val="both"/>
        <w:rPr>
          <w:rFonts w:asciiTheme="minorHAnsi" w:hAnsiTheme="minorHAnsi" w:cstheme="minorHAnsi"/>
          <w:sz w:val="24"/>
          <w:szCs w:val="24"/>
        </w:rPr>
      </w:pPr>
      <w:r w:rsidRPr="004E7326">
        <w:rPr>
          <w:rFonts w:asciiTheme="minorHAnsi" w:hAnsiTheme="minorHAnsi" w:cstheme="minorHAnsi"/>
          <w:sz w:val="24"/>
          <w:szCs w:val="24"/>
        </w:rPr>
        <w:t>les rapports d’enquête (en particulier EDS, MICS, ELEP…).</w:t>
      </w:r>
    </w:p>
    <w:p w:rsidR="0070089A" w:rsidRPr="004E7326" w:rsidRDefault="0070089A" w:rsidP="0070089A">
      <w:pPr>
        <w:numPr>
          <w:ilvl w:val="0"/>
          <w:numId w:val="38"/>
        </w:num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Une </w:t>
      </w:r>
      <w:r w:rsidRPr="004E7326">
        <w:rPr>
          <w:rFonts w:asciiTheme="minorHAnsi" w:hAnsiTheme="minorHAnsi" w:cstheme="minorHAnsi"/>
          <w:b/>
          <w:sz w:val="24"/>
          <w:szCs w:val="24"/>
        </w:rPr>
        <w:t xml:space="preserve">enquête auprès des femmes et jeunes filles/ </w:t>
      </w:r>
      <w:r w:rsidRPr="004E7326">
        <w:rPr>
          <w:rFonts w:asciiTheme="minorHAnsi" w:hAnsiTheme="minorHAnsi" w:cstheme="minorHAnsi"/>
          <w:sz w:val="24"/>
          <w:szCs w:val="24"/>
        </w:rPr>
        <w:t>l’initiative de dialogue intergénérationnels sera réalisée auprès des cibles ci-après :</w:t>
      </w:r>
    </w:p>
    <w:p w:rsidR="0070089A" w:rsidRPr="004E7326" w:rsidRDefault="0070089A" w:rsidP="0070089A">
      <w:pPr>
        <w:numPr>
          <w:ilvl w:val="0"/>
          <w:numId w:val="40"/>
        </w:num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lastRenderedPageBreak/>
        <w:t>Les jeunes femmes et les jeunes filles dans les zones cibles du projet à travers un échantillon  ;</w:t>
      </w:r>
    </w:p>
    <w:p w:rsidR="0070089A" w:rsidRPr="004E7326" w:rsidRDefault="0070089A" w:rsidP="0070089A">
      <w:pPr>
        <w:numPr>
          <w:ilvl w:val="0"/>
          <w:numId w:val="40"/>
        </w:numPr>
        <w:tabs>
          <w:tab w:val="left" w:pos="284"/>
        </w:tabs>
        <w:spacing w:line="276" w:lineRule="auto"/>
        <w:jc w:val="both"/>
        <w:rPr>
          <w:rFonts w:asciiTheme="minorHAnsi" w:hAnsiTheme="minorHAnsi" w:cstheme="minorHAnsi"/>
          <w:sz w:val="24"/>
          <w:szCs w:val="24"/>
        </w:rPr>
      </w:pPr>
      <w:r w:rsidRPr="004E7326">
        <w:rPr>
          <w:rFonts w:asciiTheme="minorHAnsi" w:hAnsiTheme="minorHAnsi" w:cstheme="minorHAnsi"/>
          <w:sz w:val="24"/>
          <w:szCs w:val="24"/>
        </w:rPr>
        <w:t>Les autorités administratives et locales ;</w:t>
      </w:r>
    </w:p>
    <w:p w:rsidR="0070089A" w:rsidRPr="004E7326" w:rsidRDefault="0070089A" w:rsidP="0070089A">
      <w:pPr>
        <w:numPr>
          <w:ilvl w:val="0"/>
          <w:numId w:val="40"/>
        </w:numPr>
        <w:tabs>
          <w:tab w:val="left" w:pos="284"/>
        </w:tabs>
        <w:spacing w:line="276" w:lineRule="auto"/>
        <w:jc w:val="both"/>
        <w:rPr>
          <w:rFonts w:asciiTheme="minorHAnsi" w:hAnsiTheme="minorHAnsi" w:cstheme="minorHAnsi"/>
          <w:sz w:val="24"/>
          <w:szCs w:val="24"/>
        </w:rPr>
      </w:pPr>
      <w:r w:rsidRPr="004E7326">
        <w:rPr>
          <w:rFonts w:asciiTheme="minorHAnsi" w:hAnsiTheme="minorHAnsi" w:cstheme="minorHAnsi"/>
          <w:sz w:val="24"/>
          <w:szCs w:val="24"/>
        </w:rPr>
        <w:t>Les organisations de la société civile dirigées par des femmes et filles ;</w:t>
      </w:r>
    </w:p>
    <w:p w:rsidR="0070089A" w:rsidRPr="004E7326" w:rsidRDefault="0070089A" w:rsidP="0070089A">
      <w:pPr>
        <w:tabs>
          <w:tab w:val="left" w:pos="284"/>
        </w:tabs>
        <w:spacing w:line="276" w:lineRule="auto"/>
        <w:ind w:left="1440"/>
        <w:jc w:val="both"/>
        <w:rPr>
          <w:rFonts w:asciiTheme="minorHAnsi" w:hAnsiTheme="minorHAnsi" w:cstheme="minorHAnsi"/>
          <w:sz w:val="24"/>
          <w:szCs w:val="24"/>
        </w:rPr>
      </w:pPr>
    </w:p>
    <w:p w:rsidR="0070089A" w:rsidRPr="004E7326" w:rsidRDefault="0070089A" w:rsidP="0070089A">
      <w:pPr>
        <w:numPr>
          <w:ilvl w:val="0"/>
          <w:numId w:val="38"/>
        </w:num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Une </w:t>
      </w:r>
      <w:r w:rsidRPr="004E7326">
        <w:rPr>
          <w:rFonts w:asciiTheme="minorHAnsi" w:hAnsiTheme="minorHAnsi" w:cstheme="minorHAnsi"/>
          <w:b/>
          <w:sz w:val="24"/>
          <w:szCs w:val="24"/>
        </w:rPr>
        <w:t>enquête auprès des services techniques déconcentrés, décentralisés et les organisations de la société civile des régions cibles</w:t>
      </w:r>
      <w:r w:rsidRPr="004E7326">
        <w:rPr>
          <w:rFonts w:asciiTheme="minorHAnsi" w:hAnsiTheme="minorHAnsi" w:cstheme="minorHAnsi"/>
          <w:sz w:val="24"/>
          <w:szCs w:val="24"/>
        </w:rPr>
        <w:t xml:space="preserve"> pour apprécier les capacités techniques en matière de collecte et d’analyse de données ainsi que dans le domaine de l’intégration des questions de participation des femmes dans les instances de prises de décisions, de prévention et de gestion de conflits dans les cadres de développement (plans, programmes et projets). Elle s’adresse aux structures suivantes et à leur personnel :</w:t>
      </w:r>
    </w:p>
    <w:p w:rsidR="0070089A" w:rsidRPr="004E7326" w:rsidRDefault="0070089A" w:rsidP="0070089A">
      <w:pPr>
        <w:numPr>
          <w:ilvl w:val="0"/>
          <w:numId w:val="41"/>
        </w:num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Services déconcentrés (Promotion féminine, Jeunesse, Direction de Statistique et de Planification)</w:t>
      </w:r>
    </w:p>
    <w:p w:rsidR="0070089A" w:rsidRPr="004E7326" w:rsidRDefault="0070089A" w:rsidP="0070089A">
      <w:pPr>
        <w:numPr>
          <w:ilvl w:val="0"/>
          <w:numId w:val="41"/>
        </w:num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Les services décentralisés (Mairies) ;</w:t>
      </w:r>
    </w:p>
    <w:p w:rsidR="0070089A" w:rsidRPr="004E7326" w:rsidRDefault="0070089A" w:rsidP="0070089A">
      <w:pPr>
        <w:numPr>
          <w:ilvl w:val="0"/>
          <w:numId w:val="41"/>
        </w:numPr>
        <w:tabs>
          <w:tab w:val="left" w:pos="284"/>
        </w:tabs>
        <w:spacing w:line="276" w:lineRule="auto"/>
        <w:jc w:val="both"/>
        <w:rPr>
          <w:rFonts w:asciiTheme="minorHAnsi" w:hAnsiTheme="minorHAnsi" w:cstheme="minorHAnsi"/>
          <w:sz w:val="24"/>
          <w:szCs w:val="24"/>
        </w:rPr>
      </w:pPr>
      <w:r w:rsidRPr="004E7326">
        <w:rPr>
          <w:rFonts w:asciiTheme="minorHAnsi" w:hAnsiTheme="minorHAnsi" w:cstheme="minorHAnsi"/>
          <w:sz w:val="24"/>
          <w:szCs w:val="24"/>
        </w:rPr>
        <w:t>Organisations de la Société Civile locales.</w:t>
      </w:r>
    </w:p>
    <w:p w:rsidR="0070089A" w:rsidRPr="004E7326" w:rsidRDefault="0070089A" w:rsidP="0070089A">
      <w:pPr>
        <w:numPr>
          <w:ilvl w:val="0"/>
          <w:numId w:val="38"/>
        </w:num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Une </w:t>
      </w:r>
      <w:r w:rsidRPr="004E7326">
        <w:rPr>
          <w:rFonts w:asciiTheme="minorHAnsi" w:hAnsiTheme="minorHAnsi" w:cstheme="minorHAnsi"/>
          <w:b/>
          <w:sz w:val="24"/>
          <w:szCs w:val="24"/>
        </w:rPr>
        <w:t>enquête auprès de la communauté (entretiens semi structurés et focus group)</w:t>
      </w:r>
      <w:r w:rsidRPr="004E7326">
        <w:rPr>
          <w:rFonts w:asciiTheme="minorHAnsi" w:hAnsiTheme="minorHAnsi" w:cstheme="minorHAnsi"/>
          <w:b/>
          <w:sz w:val="24"/>
          <w:szCs w:val="24"/>
          <w:u w:val="single"/>
        </w:rPr>
        <w:t xml:space="preserve"> </w:t>
      </w:r>
      <w:r w:rsidRPr="004E7326">
        <w:rPr>
          <w:rFonts w:asciiTheme="minorHAnsi" w:hAnsiTheme="minorHAnsi" w:cstheme="minorHAnsi"/>
          <w:sz w:val="24"/>
          <w:szCs w:val="24"/>
        </w:rPr>
        <w:t>pour apprécier les représentations, les perceptions et les attitudes vis-à-vis l’ampleur des tensions de la participation des femmes et filles et des violences basées sur le genre (VBG). Elle sera adressée aux cibles suivantes :</w:t>
      </w:r>
    </w:p>
    <w:p w:rsidR="0070089A" w:rsidRPr="004E7326" w:rsidRDefault="0070089A" w:rsidP="0070089A">
      <w:pPr>
        <w:numPr>
          <w:ilvl w:val="0"/>
          <w:numId w:val="42"/>
        </w:num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Femmes et jeunes y compris les adolescent-e-s ;</w:t>
      </w:r>
    </w:p>
    <w:p w:rsidR="0070089A" w:rsidRPr="004E7326" w:rsidRDefault="0070089A" w:rsidP="0070089A">
      <w:pPr>
        <w:numPr>
          <w:ilvl w:val="0"/>
          <w:numId w:val="42"/>
        </w:numPr>
        <w:tabs>
          <w:tab w:val="left" w:pos="284"/>
        </w:tabs>
        <w:spacing w:line="276" w:lineRule="auto"/>
        <w:jc w:val="both"/>
        <w:rPr>
          <w:rFonts w:asciiTheme="minorHAnsi" w:hAnsiTheme="minorHAnsi" w:cstheme="minorHAnsi"/>
          <w:sz w:val="24"/>
          <w:szCs w:val="24"/>
        </w:rPr>
      </w:pPr>
      <w:r w:rsidRPr="004E7326">
        <w:rPr>
          <w:rFonts w:asciiTheme="minorHAnsi" w:hAnsiTheme="minorHAnsi" w:cstheme="minorHAnsi"/>
          <w:sz w:val="24"/>
          <w:szCs w:val="24"/>
        </w:rPr>
        <w:t>Comités de gestion et autres mécanismes des droits des femmes et de la jeune fille ;</w:t>
      </w:r>
    </w:p>
    <w:p w:rsidR="0070089A" w:rsidRPr="004E7326" w:rsidRDefault="0070089A" w:rsidP="0070089A">
      <w:pPr>
        <w:numPr>
          <w:ilvl w:val="0"/>
          <w:numId w:val="42"/>
        </w:numPr>
        <w:tabs>
          <w:tab w:val="left" w:pos="284"/>
        </w:tabs>
        <w:spacing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Leaders y compris les leaders communautaires et autres informateurs clés. </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Des outils appropriés pour le recueil des données de cette nature seront développés pour répondre au besoin de chaque type d’enquête. Les données recueillies (données textuelles et quantitatives) seront saisies et traitées à travers des logiciels d’exploitation et d’analyse appropriées.</w:t>
      </w:r>
    </w:p>
    <w:p w:rsidR="0070089A" w:rsidRPr="004E7326" w:rsidRDefault="0070089A" w:rsidP="0070089A">
      <w:pPr>
        <w:tabs>
          <w:tab w:val="left" w:pos="284"/>
        </w:tabs>
        <w:spacing w:before="240" w:line="276" w:lineRule="auto"/>
        <w:jc w:val="both"/>
        <w:rPr>
          <w:rFonts w:asciiTheme="minorHAnsi" w:hAnsiTheme="minorHAnsi" w:cstheme="minorHAnsi"/>
          <w:sz w:val="24"/>
          <w:szCs w:val="24"/>
        </w:rPr>
      </w:pPr>
      <w:r w:rsidRPr="004E7326">
        <w:rPr>
          <w:rFonts w:asciiTheme="minorHAnsi" w:hAnsiTheme="minorHAnsi" w:cstheme="minorHAnsi"/>
          <w:sz w:val="24"/>
          <w:szCs w:val="24"/>
        </w:rPr>
        <w:t>Par ailleurs le consultant dans sa proposition méthodologique aura la latitude d’apprécier et de renforcer cette approche proposée.</w:t>
      </w:r>
    </w:p>
    <w:p w:rsidR="0070089A" w:rsidRPr="002D631D" w:rsidRDefault="0070089A" w:rsidP="002D631D">
      <w:pPr>
        <w:numPr>
          <w:ilvl w:val="0"/>
          <w:numId w:val="47"/>
        </w:numPr>
        <w:tabs>
          <w:tab w:val="left" w:pos="284"/>
        </w:tabs>
        <w:spacing w:before="240"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 xml:space="preserve">Profils des de recherches/cabinets ciblés </w:t>
      </w:r>
    </w:p>
    <w:p w:rsidR="0070089A" w:rsidRPr="004E7326" w:rsidRDefault="0070089A" w:rsidP="0070089A">
      <w:pPr>
        <w:spacing w:after="120" w:line="276" w:lineRule="auto"/>
        <w:jc w:val="both"/>
        <w:rPr>
          <w:rFonts w:asciiTheme="minorHAnsi" w:hAnsiTheme="minorHAnsi" w:cstheme="minorHAnsi"/>
          <w:sz w:val="24"/>
          <w:szCs w:val="24"/>
        </w:rPr>
      </w:pPr>
      <w:r w:rsidRPr="004E7326">
        <w:rPr>
          <w:rFonts w:asciiTheme="minorHAnsi" w:hAnsiTheme="minorHAnsi" w:cstheme="minorHAnsi"/>
          <w:sz w:val="24"/>
          <w:szCs w:val="24"/>
        </w:rPr>
        <w:t xml:space="preserve">Pour la réalisation de cette étude (enquête de perception initiale), le Fonds des Nations Unies pour la Population souhaite recourir aux services d’un cabinet d’étude disposant de l’expertise et de l’expérience nécessaires dans la conduite des d’études de références. Le Cabinet devra utiliser un </w:t>
      </w:r>
      <w:r w:rsidRPr="004E7326">
        <w:rPr>
          <w:rFonts w:asciiTheme="minorHAnsi" w:hAnsiTheme="minorHAnsi" w:cstheme="minorHAnsi"/>
          <w:sz w:val="24"/>
          <w:szCs w:val="24"/>
        </w:rPr>
        <w:lastRenderedPageBreak/>
        <w:t xml:space="preserve">personnel ayant de très bonne connaissance du contexte et des enjeux locaux (économique, social, politique…) et une connaissance avérée sur le développement local, les questions de femme, de jeunesse, la prévention de conflits, des approches de l’égalité de genre et l’autonomisation des femmes et filles, ainsi que des questions de droits des femmes et de la jeune fille. </w:t>
      </w:r>
    </w:p>
    <w:p w:rsidR="0070089A" w:rsidRPr="004E7326" w:rsidRDefault="0070089A" w:rsidP="0070089A">
      <w:pPr>
        <w:spacing w:after="120"/>
        <w:jc w:val="both"/>
        <w:rPr>
          <w:rFonts w:asciiTheme="minorHAnsi" w:hAnsiTheme="minorHAnsi" w:cstheme="minorHAnsi"/>
          <w:sz w:val="24"/>
          <w:szCs w:val="24"/>
        </w:rPr>
      </w:pPr>
      <w:r w:rsidRPr="004E7326">
        <w:rPr>
          <w:rFonts w:asciiTheme="minorHAnsi" w:hAnsiTheme="minorHAnsi" w:cstheme="minorHAnsi"/>
          <w:sz w:val="24"/>
          <w:szCs w:val="24"/>
        </w:rPr>
        <w:t xml:space="preserve">Le cabinet doit avoir  en termes  de compétences: </w:t>
      </w:r>
    </w:p>
    <w:p w:rsidR="0070089A" w:rsidRPr="004E7326" w:rsidRDefault="0070089A" w:rsidP="0070089A">
      <w:pPr>
        <w:numPr>
          <w:ilvl w:val="0"/>
          <w:numId w:val="43"/>
        </w:numPr>
        <w:jc w:val="both"/>
        <w:rPr>
          <w:rFonts w:asciiTheme="minorHAnsi" w:hAnsiTheme="minorHAnsi" w:cstheme="minorHAnsi"/>
          <w:color w:val="000000"/>
          <w:sz w:val="24"/>
          <w:szCs w:val="24"/>
        </w:rPr>
      </w:pPr>
      <w:r w:rsidRPr="004E7326">
        <w:rPr>
          <w:rFonts w:asciiTheme="minorHAnsi" w:hAnsiTheme="minorHAnsi" w:cstheme="minorHAnsi"/>
          <w:color w:val="000000"/>
          <w:sz w:val="24"/>
          <w:szCs w:val="24"/>
        </w:rPr>
        <w:t xml:space="preserve">Au moins un master 2 en sociologie (du développement), sciences sociales, démographie ou tout autre domaine pertinent. </w:t>
      </w:r>
    </w:p>
    <w:p w:rsidR="0070089A" w:rsidRPr="004E7326" w:rsidRDefault="0070089A" w:rsidP="0070089A">
      <w:pPr>
        <w:numPr>
          <w:ilvl w:val="0"/>
          <w:numId w:val="43"/>
        </w:numPr>
        <w:jc w:val="both"/>
        <w:rPr>
          <w:rFonts w:asciiTheme="minorHAnsi" w:hAnsiTheme="minorHAnsi" w:cstheme="minorHAnsi"/>
          <w:color w:val="000000"/>
          <w:sz w:val="24"/>
          <w:szCs w:val="24"/>
        </w:rPr>
      </w:pPr>
      <w:r w:rsidRPr="004E7326">
        <w:rPr>
          <w:rFonts w:asciiTheme="minorHAnsi" w:hAnsiTheme="minorHAnsi" w:cstheme="minorHAnsi"/>
          <w:color w:val="000000"/>
          <w:sz w:val="24"/>
          <w:szCs w:val="24"/>
        </w:rPr>
        <w:t xml:space="preserve">Une expérience  dans la conduite d’étude similaire ; </w:t>
      </w:r>
    </w:p>
    <w:p w:rsidR="0070089A" w:rsidRPr="004E7326" w:rsidRDefault="0070089A" w:rsidP="0070089A">
      <w:pPr>
        <w:numPr>
          <w:ilvl w:val="0"/>
          <w:numId w:val="43"/>
        </w:numPr>
        <w:rPr>
          <w:rFonts w:asciiTheme="minorHAnsi" w:hAnsiTheme="minorHAnsi" w:cstheme="minorHAnsi"/>
          <w:color w:val="000000"/>
          <w:sz w:val="24"/>
          <w:szCs w:val="24"/>
        </w:rPr>
      </w:pPr>
      <w:r w:rsidRPr="004E7326">
        <w:rPr>
          <w:rFonts w:asciiTheme="minorHAnsi" w:hAnsiTheme="minorHAnsi" w:cstheme="minorHAnsi"/>
          <w:color w:val="000000"/>
          <w:sz w:val="24"/>
          <w:szCs w:val="24"/>
        </w:rPr>
        <w:t xml:space="preserve">  Une expérience dans la réalisation des enquêtes de perception des projets de consolidation de la Paix en Guinée et/ou dans la sous-région ; </w:t>
      </w:r>
    </w:p>
    <w:p w:rsidR="0070089A" w:rsidRPr="004E7326" w:rsidRDefault="0070089A" w:rsidP="0070089A">
      <w:pPr>
        <w:numPr>
          <w:ilvl w:val="0"/>
          <w:numId w:val="43"/>
        </w:numPr>
        <w:spacing w:after="120"/>
        <w:jc w:val="both"/>
        <w:rPr>
          <w:rFonts w:asciiTheme="minorHAnsi" w:hAnsiTheme="minorHAnsi" w:cstheme="minorHAnsi"/>
          <w:color w:val="000000"/>
          <w:sz w:val="24"/>
          <w:szCs w:val="24"/>
        </w:rPr>
      </w:pPr>
      <w:r w:rsidRPr="004E7326">
        <w:rPr>
          <w:rFonts w:asciiTheme="minorHAnsi" w:hAnsiTheme="minorHAnsi" w:cstheme="minorHAnsi"/>
          <w:color w:val="000000"/>
          <w:sz w:val="24"/>
          <w:szCs w:val="24"/>
        </w:rPr>
        <w:t>Des ressources humaines familiarisées aux principales langues nationales (Soussou, Poular, Malinké, Kissi, Kpèlé etc.)</w:t>
      </w:r>
    </w:p>
    <w:p w:rsidR="0070089A" w:rsidRPr="004E7326" w:rsidRDefault="0070089A" w:rsidP="0070089A">
      <w:pPr>
        <w:tabs>
          <w:tab w:val="left" w:pos="284"/>
        </w:tabs>
        <w:spacing w:before="240"/>
        <w:jc w:val="both"/>
        <w:rPr>
          <w:rFonts w:asciiTheme="minorHAnsi" w:hAnsiTheme="minorHAnsi" w:cstheme="minorHAnsi"/>
          <w:sz w:val="24"/>
          <w:szCs w:val="24"/>
        </w:rPr>
      </w:pPr>
      <w:r w:rsidRPr="004E7326">
        <w:rPr>
          <w:rFonts w:asciiTheme="minorHAnsi" w:hAnsiTheme="minorHAnsi" w:cstheme="minorHAnsi"/>
          <w:sz w:val="24"/>
          <w:szCs w:val="24"/>
        </w:rPr>
        <w:t>Le cabinet d’étude/ consortium travaillera sous la supervision du responsable de l’information stratégiques et du chargé S&amp;E du projet du bureau UNFPA.</w:t>
      </w:r>
    </w:p>
    <w:p w:rsidR="0070089A" w:rsidRPr="004E7326" w:rsidRDefault="0070089A" w:rsidP="002D631D">
      <w:pPr>
        <w:numPr>
          <w:ilvl w:val="0"/>
          <w:numId w:val="47"/>
        </w:numPr>
        <w:tabs>
          <w:tab w:val="left" w:pos="284"/>
        </w:tabs>
        <w:spacing w:before="240"/>
        <w:jc w:val="both"/>
        <w:rPr>
          <w:rFonts w:asciiTheme="minorHAnsi" w:hAnsiTheme="minorHAnsi" w:cstheme="minorHAnsi"/>
          <w:b/>
          <w:sz w:val="24"/>
          <w:szCs w:val="24"/>
        </w:rPr>
      </w:pPr>
      <w:r w:rsidRPr="004E7326">
        <w:rPr>
          <w:rFonts w:asciiTheme="minorHAnsi" w:hAnsiTheme="minorHAnsi" w:cstheme="minorHAnsi"/>
          <w:b/>
          <w:sz w:val="24"/>
          <w:szCs w:val="24"/>
        </w:rPr>
        <w:t>Durée de l’étude, principales tâches et livrables</w:t>
      </w:r>
    </w:p>
    <w:p w:rsidR="0070089A" w:rsidRPr="004E7326" w:rsidRDefault="0070089A" w:rsidP="0070089A">
      <w:pPr>
        <w:tabs>
          <w:tab w:val="left" w:pos="284"/>
        </w:tabs>
        <w:spacing w:before="240"/>
        <w:jc w:val="both"/>
        <w:rPr>
          <w:rFonts w:asciiTheme="minorHAnsi" w:hAnsiTheme="minorHAnsi" w:cstheme="minorHAnsi"/>
          <w:sz w:val="24"/>
          <w:szCs w:val="24"/>
        </w:rPr>
      </w:pPr>
      <w:r w:rsidRPr="004E7326">
        <w:rPr>
          <w:rFonts w:asciiTheme="minorHAnsi" w:hAnsiTheme="minorHAnsi" w:cstheme="minorHAnsi"/>
          <w:sz w:val="24"/>
          <w:szCs w:val="24"/>
        </w:rPr>
        <w:t>La consultation est prévue pour une durée de 8 semaines, à partir de la date de signature du contrat. À titre indicative les principales activités, dont certaines peuvent s’effectuer concomitamment, comprennent :</w:t>
      </w:r>
    </w:p>
    <w:p w:rsidR="0070089A" w:rsidRPr="004E7326" w:rsidRDefault="0070089A" w:rsidP="0070089A">
      <w:pPr>
        <w:numPr>
          <w:ilvl w:val="0"/>
          <w:numId w:val="44"/>
        </w:numPr>
        <w:spacing w:before="280"/>
        <w:jc w:val="both"/>
        <w:rPr>
          <w:rFonts w:asciiTheme="minorHAnsi" w:hAnsiTheme="minorHAnsi" w:cstheme="minorHAnsi"/>
          <w:sz w:val="24"/>
          <w:szCs w:val="24"/>
        </w:rPr>
      </w:pPr>
      <w:r w:rsidRPr="004E7326">
        <w:rPr>
          <w:rFonts w:asciiTheme="minorHAnsi" w:hAnsiTheme="minorHAnsi" w:cstheme="minorHAnsi"/>
          <w:sz w:val="24"/>
          <w:szCs w:val="24"/>
        </w:rPr>
        <w:t>L’élaboration d’une méthodologie et le développement des outils pour la collecte des données (</w:t>
      </w:r>
      <w:r w:rsidRPr="004E7326">
        <w:rPr>
          <w:rFonts w:asciiTheme="minorHAnsi" w:hAnsiTheme="minorHAnsi" w:cstheme="minorHAnsi"/>
          <w:b/>
          <w:sz w:val="24"/>
          <w:szCs w:val="24"/>
        </w:rPr>
        <w:t>1 semaine</w:t>
      </w:r>
      <w:r w:rsidRPr="004E7326">
        <w:rPr>
          <w:rFonts w:asciiTheme="minorHAnsi" w:hAnsiTheme="minorHAnsi" w:cstheme="minorHAnsi"/>
          <w:sz w:val="24"/>
          <w:szCs w:val="24"/>
        </w:rPr>
        <w:t>) ;</w:t>
      </w:r>
    </w:p>
    <w:p w:rsidR="0070089A" w:rsidRPr="004E7326" w:rsidRDefault="0070089A" w:rsidP="0070089A">
      <w:pPr>
        <w:numPr>
          <w:ilvl w:val="0"/>
          <w:numId w:val="44"/>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Le partage la méthodologie détaillée et des outils avec le comité technique du projet pour validation et la formation du personnel de collecte sur les outils (</w:t>
      </w:r>
      <w:r w:rsidRPr="004E7326">
        <w:rPr>
          <w:rFonts w:asciiTheme="minorHAnsi" w:hAnsiTheme="minorHAnsi" w:cstheme="minorHAnsi"/>
          <w:b/>
          <w:sz w:val="24"/>
          <w:szCs w:val="24"/>
        </w:rPr>
        <w:t xml:space="preserve">1 semaine) </w:t>
      </w:r>
      <w:r w:rsidRPr="004E7326">
        <w:rPr>
          <w:rFonts w:asciiTheme="minorHAnsi" w:hAnsiTheme="minorHAnsi" w:cstheme="minorHAnsi"/>
          <w:sz w:val="24"/>
          <w:szCs w:val="24"/>
        </w:rPr>
        <w:t>;</w:t>
      </w:r>
    </w:p>
    <w:p w:rsidR="0070089A" w:rsidRPr="004E7326" w:rsidRDefault="0070089A" w:rsidP="0070089A">
      <w:pPr>
        <w:numPr>
          <w:ilvl w:val="0"/>
          <w:numId w:val="44"/>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La formation des enquêteurs et test des outils sur le terrain (</w:t>
      </w:r>
      <w:r w:rsidRPr="004E7326">
        <w:rPr>
          <w:rFonts w:asciiTheme="minorHAnsi" w:hAnsiTheme="minorHAnsi" w:cstheme="minorHAnsi"/>
          <w:b/>
          <w:sz w:val="24"/>
          <w:szCs w:val="24"/>
        </w:rPr>
        <w:t xml:space="preserve">1 semaine) </w:t>
      </w:r>
      <w:r w:rsidRPr="004E7326">
        <w:rPr>
          <w:rFonts w:asciiTheme="minorHAnsi" w:hAnsiTheme="minorHAnsi" w:cstheme="minorHAnsi"/>
          <w:sz w:val="24"/>
          <w:szCs w:val="24"/>
        </w:rPr>
        <w:t>;</w:t>
      </w:r>
    </w:p>
    <w:p w:rsidR="0070089A" w:rsidRPr="004E7326" w:rsidRDefault="0070089A" w:rsidP="0070089A">
      <w:pPr>
        <w:numPr>
          <w:ilvl w:val="0"/>
          <w:numId w:val="44"/>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La revue des documents disponibles, la collecte et le contrôle des données complémentaires sur le terrain (</w:t>
      </w:r>
      <w:r w:rsidRPr="004E7326">
        <w:rPr>
          <w:rFonts w:asciiTheme="minorHAnsi" w:hAnsiTheme="minorHAnsi" w:cstheme="minorHAnsi"/>
          <w:b/>
          <w:sz w:val="24"/>
          <w:szCs w:val="24"/>
        </w:rPr>
        <w:t>2 semaines</w:t>
      </w:r>
      <w:r w:rsidRPr="004E7326">
        <w:rPr>
          <w:rFonts w:asciiTheme="minorHAnsi" w:hAnsiTheme="minorHAnsi" w:cstheme="minorHAnsi"/>
          <w:sz w:val="24"/>
          <w:szCs w:val="24"/>
        </w:rPr>
        <w:t>) ;</w:t>
      </w:r>
    </w:p>
    <w:p w:rsidR="0070089A" w:rsidRPr="004E7326" w:rsidRDefault="0070089A" w:rsidP="0070089A">
      <w:pPr>
        <w:numPr>
          <w:ilvl w:val="0"/>
          <w:numId w:val="44"/>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La transcription des données qualitatives, la saisie et la tabulation des données quantitatives (</w:t>
      </w:r>
      <w:r w:rsidRPr="004E7326">
        <w:rPr>
          <w:rFonts w:asciiTheme="minorHAnsi" w:hAnsiTheme="minorHAnsi" w:cstheme="minorHAnsi"/>
          <w:b/>
          <w:sz w:val="24"/>
          <w:szCs w:val="24"/>
        </w:rPr>
        <w:t>1 semaine</w:t>
      </w:r>
      <w:r w:rsidRPr="004E7326">
        <w:rPr>
          <w:rFonts w:asciiTheme="minorHAnsi" w:hAnsiTheme="minorHAnsi" w:cstheme="minorHAnsi"/>
          <w:sz w:val="24"/>
          <w:szCs w:val="24"/>
        </w:rPr>
        <w:t>) ;</w:t>
      </w:r>
    </w:p>
    <w:p w:rsidR="0070089A" w:rsidRPr="004E7326" w:rsidRDefault="0070089A" w:rsidP="0070089A">
      <w:pPr>
        <w:numPr>
          <w:ilvl w:val="0"/>
          <w:numId w:val="44"/>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L’analyse des données collectées et la rédaction d’un rapport préliminaire incluant la matrice de suivi-évaluation avec les données de base sur les indicateurs à partager avec le comité technique du projet avant la restitution pour commentaires (</w:t>
      </w:r>
      <w:r w:rsidRPr="004E7326">
        <w:rPr>
          <w:rFonts w:asciiTheme="minorHAnsi" w:hAnsiTheme="minorHAnsi" w:cstheme="minorHAnsi"/>
          <w:b/>
          <w:sz w:val="24"/>
          <w:szCs w:val="24"/>
        </w:rPr>
        <w:t>3 semaines</w:t>
      </w:r>
      <w:r w:rsidRPr="004E7326">
        <w:rPr>
          <w:rFonts w:asciiTheme="minorHAnsi" w:hAnsiTheme="minorHAnsi" w:cstheme="minorHAnsi"/>
          <w:sz w:val="24"/>
          <w:szCs w:val="24"/>
        </w:rPr>
        <w:t>) ;</w:t>
      </w:r>
    </w:p>
    <w:p w:rsidR="0070089A" w:rsidRPr="004E7326" w:rsidRDefault="0070089A" w:rsidP="0070089A">
      <w:pPr>
        <w:numPr>
          <w:ilvl w:val="0"/>
          <w:numId w:val="44"/>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La restitution du rapport préliminaire (1 jour) ;</w:t>
      </w:r>
    </w:p>
    <w:p w:rsidR="0070089A" w:rsidRPr="004E7326" w:rsidRDefault="0070089A" w:rsidP="0070089A">
      <w:pPr>
        <w:numPr>
          <w:ilvl w:val="0"/>
          <w:numId w:val="44"/>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La finalisation du rapport, intégration des commentaires (1 Semaine)</w:t>
      </w:r>
    </w:p>
    <w:p w:rsidR="0070089A" w:rsidRPr="004E7326" w:rsidRDefault="0070089A" w:rsidP="0070089A">
      <w:pPr>
        <w:numPr>
          <w:ilvl w:val="0"/>
          <w:numId w:val="44"/>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 xml:space="preserve">Le cabinet d’étude ou consortium de consultants conduira également les apports des interventions dudit projet. </w:t>
      </w:r>
    </w:p>
    <w:p w:rsidR="0070089A" w:rsidRDefault="0070089A" w:rsidP="0070089A">
      <w:pPr>
        <w:tabs>
          <w:tab w:val="left" w:pos="284"/>
        </w:tabs>
        <w:jc w:val="both"/>
        <w:rPr>
          <w:rFonts w:asciiTheme="minorHAnsi" w:hAnsiTheme="minorHAnsi" w:cstheme="minorHAnsi"/>
          <w:sz w:val="24"/>
          <w:szCs w:val="24"/>
        </w:rPr>
      </w:pPr>
    </w:p>
    <w:p w:rsidR="002D631D" w:rsidRDefault="002D631D" w:rsidP="0070089A">
      <w:pPr>
        <w:tabs>
          <w:tab w:val="left" w:pos="284"/>
        </w:tabs>
        <w:jc w:val="both"/>
        <w:rPr>
          <w:rFonts w:asciiTheme="minorHAnsi" w:hAnsiTheme="minorHAnsi" w:cstheme="minorHAnsi"/>
          <w:sz w:val="24"/>
          <w:szCs w:val="24"/>
        </w:rPr>
      </w:pPr>
    </w:p>
    <w:p w:rsidR="002D631D" w:rsidRDefault="002D631D" w:rsidP="0070089A">
      <w:pPr>
        <w:tabs>
          <w:tab w:val="left" w:pos="284"/>
        </w:tabs>
        <w:jc w:val="both"/>
        <w:rPr>
          <w:rFonts w:asciiTheme="minorHAnsi" w:hAnsiTheme="minorHAnsi" w:cstheme="minorHAnsi"/>
          <w:sz w:val="24"/>
          <w:szCs w:val="24"/>
        </w:rPr>
      </w:pPr>
    </w:p>
    <w:p w:rsidR="002D631D" w:rsidRDefault="002D631D" w:rsidP="0070089A">
      <w:pPr>
        <w:tabs>
          <w:tab w:val="left" w:pos="284"/>
        </w:tabs>
        <w:jc w:val="both"/>
        <w:rPr>
          <w:rFonts w:asciiTheme="minorHAnsi" w:hAnsiTheme="minorHAnsi" w:cstheme="minorHAnsi"/>
          <w:sz w:val="24"/>
          <w:szCs w:val="24"/>
        </w:rPr>
      </w:pPr>
    </w:p>
    <w:p w:rsidR="002D631D" w:rsidRPr="004E7326" w:rsidRDefault="002D631D" w:rsidP="0070089A">
      <w:pPr>
        <w:tabs>
          <w:tab w:val="left" w:pos="284"/>
        </w:tabs>
        <w:jc w:val="both"/>
        <w:rPr>
          <w:rFonts w:asciiTheme="minorHAnsi" w:hAnsiTheme="minorHAnsi" w:cstheme="minorHAnsi"/>
          <w:sz w:val="24"/>
          <w:szCs w:val="24"/>
        </w:rPr>
      </w:pPr>
    </w:p>
    <w:p w:rsidR="0070089A" w:rsidRPr="004E7326" w:rsidRDefault="0070089A" w:rsidP="002D631D">
      <w:pPr>
        <w:numPr>
          <w:ilvl w:val="0"/>
          <w:numId w:val="47"/>
        </w:numPr>
        <w:tabs>
          <w:tab w:val="left" w:pos="284"/>
        </w:tabs>
        <w:jc w:val="both"/>
        <w:rPr>
          <w:rFonts w:asciiTheme="minorHAnsi" w:hAnsiTheme="minorHAnsi" w:cstheme="minorHAnsi"/>
          <w:b/>
          <w:sz w:val="24"/>
          <w:szCs w:val="24"/>
        </w:rPr>
      </w:pPr>
      <w:r w:rsidRPr="004E7326">
        <w:rPr>
          <w:rFonts w:asciiTheme="minorHAnsi" w:hAnsiTheme="minorHAnsi" w:cstheme="minorHAnsi"/>
          <w:b/>
          <w:sz w:val="24"/>
          <w:szCs w:val="24"/>
        </w:rPr>
        <w:lastRenderedPageBreak/>
        <w:t>Chronogramme prévisionnel</w:t>
      </w:r>
    </w:p>
    <w:p w:rsidR="0070089A" w:rsidRPr="004E7326" w:rsidRDefault="0070089A" w:rsidP="0070089A">
      <w:pPr>
        <w:tabs>
          <w:tab w:val="left" w:pos="284"/>
        </w:tabs>
        <w:jc w:val="both"/>
        <w:rPr>
          <w:rFonts w:asciiTheme="minorHAnsi" w:hAnsiTheme="minorHAnsi" w:cstheme="minorHAnsi"/>
          <w:sz w:val="24"/>
          <w:szCs w:val="24"/>
        </w:rPr>
      </w:pPr>
    </w:p>
    <w:tbl>
      <w:tblPr>
        <w:tblW w:w="97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708"/>
        <w:gridCol w:w="709"/>
        <w:gridCol w:w="709"/>
        <w:gridCol w:w="708"/>
        <w:gridCol w:w="567"/>
        <w:gridCol w:w="567"/>
        <w:gridCol w:w="641"/>
        <w:gridCol w:w="708"/>
      </w:tblGrid>
      <w:tr w:rsidR="0070089A" w:rsidRPr="004E7326" w:rsidTr="0070089A">
        <w:trPr>
          <w:trHeight w:val="317"/>
        </w:trPr>
        <w:tc>
          <w:tcPr>
            <w:tcW w:w="4476" w:type="dxa"/>
            <w:tcBorders>
              <w:top w:val="single" w:sz="4" w:space="0" w:color="000000"/>
              <w:left w:val="single" w:sz="4" w:space="0" w:color="000000"/>
              <w:bottom w:val="single" w:sz="4" w:space="0" w:color="000000"/>
              <w:right w:val="single" w:sz="4" w:space="0" w:color="000000"/>
            </w:tcBorders>
            <w:shd w:val="clear" w:color="auto" w:fill="FFC000"/>
            <w:vAlign w:val="bottom"/>
            <w:hideMark/>
          </w:tcPr>
          <w:p w:rsidR="0070089A" w:rsidRPr="004E7326" w:rsidRDefault="0070089A">
            <w:pPr>
              <w:spacing w:line="276" w:lineRule="auto"/>
              <w:rPr>
                <w:rFonts w:asciiTheme="minorHAnsi" w:hAnsiTheme="minorHAnsi" w:cstheme="minorHAnsi"/>
                <w:b/>
                <w:sz w:val="24"/>
                <w:szCs w:val="24"/>
              </w:rPr>
            </w:pPr>
            <w:r w:rsidRPr="004E7326">
              <w:rPr>
                <w:rFonts w:asciiTheme="minorHAnsi" w:hAnsiTheme="minorHAnsi" w:cstheme="minorHAnsi"/>
                <w:b/>
                <w:sz w:val="24"/>
                <w:szCs w:val="24"/>
              </w:rPr>
              <w:t xml:space="preserve">Activités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70089A" w:rsidRPr="004E7326" w:rsidRDefault="0070089A">
            <w:pPr>
              <w:spacing w:line="276" w:lineRule="auto"/>
              <w:jc w:val="center"/>
              <w:rPr>
                <w:rFonts w:asciiTheme="minorHAnsi" w:hAnsiTheme="minorHAnsi" w:cstheme="minorHAnsi"/>
                <w:b/>
                <w:sz w:val="24"/>
                <w:szCs w:val="24"/>
              </w:rPr>
            </w:pPr>
            <w:r w:rsidRPr="004E7326">
              <w:rPr>
                <w:rFonts w:asciiTheme="minorHAnsi" w:hAnsiTheme="minorHAnsi" w:cstheme="minorHAnsi"/>
                <w:b/>
                <w:sz w:val="24"/>
                <w:szCs w:val="24"/>
              </w:rPr>
              <w:t>Oct</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70089A" w:rsidRPr="004E7326" w:rsidRDefault="0070089A">
            <w:pPr>
              <w:spacing w:line="276" w:lineRule="auto"/>
              <w:jc w:val="center"/>
              <w:rPr>
                <w:rFonts w:asciiTheme="minorHAnsi" w:hAnsiTheme="minorHAnsi" w:cstheme="minorHAnsi"/>
                <w:b/>
                <w:sz w:val="24"/>
                <w:szCs w:val="24"/>
              </w:rPr>
            </w:pPr>
            <w:r w:rsidRPr="004E7326">
              <w:rPr>
                <w:rFonts w:asciiTheme="minorHAnsi" w:hAnsiTheme="minorHAnsi" w:cstheme="minorHAnsi"/>
                <w:b/>
                <w:sz w:val="24"/>
                <w:szCs w:val="24"/>
              </w:rPr>
              <w:t xml:space="preserve">Nov </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70089A" w:rsidRPr="004E7326" w:rsidRDefault="0070089A">
            <w:pPr>
              <w:spacing w:line="276" w:lineRule="auto"/>
              <w:jc w:val="center"/>
              <w:rPr>
                <w:rFonts w:asciiTheme="minorHAnsi" w:hAnsiTheme="minorHAnsi" w:cstheme="minorHAnsi"/>
                <w:b/>
                <w:sz w:val="24"/>
                <w:szCs w:val="24"/>
              </w:rPr>
            </w:pPr>
            <w:r w:rsidRPr="004E7326">
              <w:rPr>
                <w:rFonts w:asciiTheme="minorHAnsi" w:hAnsiTheme="minorHAnsi" w:cstheme="minorHAnsi"/>
                <w:b/>
                <w:sz w:val="24"/>
                <w:szCs w:val="24"/>
              </w:rPr>
              <w:t xml:space="preserve">Dec </w:t>
            </w:r>
          </w:p>
        </w:tc>
      </w:tr>
      <w:tr w:rsidR="0070089A" w:rsidRPr="004E7326" w:rsidTr="0070089A">
        <w:trPr>
          <w:trHeight w:val="620"/>
        </w:trPr>
        <w:tc>
          <w:tcPr>
            <w:tcW w:w="44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rsidR="0070089A" w:rsidRPr="004E7326" w:rsidRDefault="0070089A">
            <w:pPr>
              <w:spacing w:line="276" w:lineRule="auto"/>
              <w:rPr>
                <w:rFonts w:asciiTheme="minorHAnsi" w:hAnsiTheme="minorHAnsi" w:cstheme="minorHAnsi"/>
                <w:sz w:val="24"/>
                <w:szCs w:val="24"/>
              </w:rPr>
            </w:pPr>
            <w:r w:rsidRPr="004E7326">
              <w:rPr>
                <w:rFonts w:asciiTheme="minorHAnsi" w:hAnsiTheme="minorHAnsi" w:cstheme="minorHAnsi"/>
                <w:sz w:val="24"/>
                <w:szCs w:val="24"/>
              </w:rPr>
              <w:t xml:space="preserve">Semaine </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70089A" w:rsidRPr="004E7326" w:rsidRDefault="0070089A">
            <w:pPr>
              <w:spacing w:line="276" w:lineRule="auto"/>
              <w:jc w:val="center"/>
              <w:rPr>
                <w:rFonts w:asciiTheme="minorHAnsi" w:hAnsiTheme="minorHAnsi" w:cstheme="minorHAnsi"/>
                <w:sz w:val="24"/>
                <w:szCs w:val="24"/>
              </w:rPr>
            </w:pPr>
            <w:r w:rsidRPr="004E7326">
              <w:rPr>
                <w:rFonts w:asciiTheme="minorHAnsi" w:hAnsiTheme="minorHAnsi" w:cstheme="minorHAnsi"/>
                <w:sz w:val="24"/>
                <w:szCs w:val="24"/>
              </w:rPr>
              <w:t>S3</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70089A" w:rsidRPr="004E7326" w:rsidRDefault="0070089A">
            <w:pPr>
              <w:spacing w:line="276" w:lineRule="auto"/>
              <w:jc w:val="center"/>
              <w:rPr>
                <w:rFonts w:asciiTheme="minorHAnsi" w:hAnsiTheme="minorHAnsi" w:cstheme="minorHAnsi"/>
                <w:sz w:val="24"/>
                <w:szCs w:val="24"/>
              </w:rPr>
            </w:pPr>
            <w:r w:rsidRPr="004E7326">
              <w:rPr>
                <w:rFonts w:asciiTheme="minorHAnsi" w:hAnsiTheme="minorHAnsi" w:cstheme="minorHAnsi"/>
                <w:sz w:val="24"/>
                <w:szCs w:val="24"/>
              </w:rPr>
              <w:t>S4</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70089A" w:rsidRPr="004E7326" w:rsidRDefault="0070089A">
            <w:pPr>
              <w:spacing w:line="276" w:lineRule="auto"/>
              <w:jc w:val="center"/>
              <w:rPr>
                <w:rFonts w:asciiTheme="minorHAnsi" w:hAnsiTheme="minorHAnsi" w:cstheme="minorHAnsi"/>
                <w:sz w:val="24"/>
                <w:szCs w:val="24"/>
              </w:rPr>
            </w:pPr>
            <w:r w:rsidRPr="004E7326">
              <w:rPr>
                <w:rFonts w:asciiTheme="minorHAnsi" w:hAnsiTheme="minorHAnsi" w:cstheme="minorHAnsi"/>
                <w:sz w:val="24"/>
                <w:szCs w:val="24"/>
              </w:rPr>
              <w:t>S1</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70089A" w:rsidRPr="004E7326" w:rsidRDefault="0070089A">
            <w:pPr>
              <w:spacing w:line="276" w:lineRule="auto"/>
              <w:jc w:val="center"/>
              <w:rPr>
                <w:rFonts w:asciiTheme="minorHAnsi" w:hAnsiTheme="minorHAnsi" w:cstheme="minorHAnsi"/>
                <w:sz w:val="24"/>
                <w:szCs w:val="24"/>
              </w:rPr>
            </w:pPr>
            <w:r w:rsidRPr="004E7326">
              <w:rPr>
                <w:rFonts w:asciiTheme="minorHAnsi" w:hAnsiTheme="minorHAnsi" w:cstheme="minorHAnsi"/>
                <w:sz w:val="24"/>
                <w:szCs w:val="24"/>
              </w:rPr>
              <w:t>S2</w:t>
            </w:r>
          </w:p>
        </w:tc>
        <w:tc>
          <w:tcPr>
            <w:tcW w:w="56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70089A" w:rsidRPr="004E7326" w:rsidRDefault="0070089A">
            <w:pPr>
              <w:spacing w:line="276" w:lineRule="auto"/>
              <w:jc w:val="center"/>
              <w:rPr>
                <w:rFonts w:asciiTheme="minorHAnsi" w:hAnsiTheme="minorHAnsi" w:cstheme="minorHAnsi"/>
                <w:sz w:val="24"/>
                <w:szCs w:val="24"/>
              </w:rPr>
            </w:pPr>
            <w:r w:rsidRPr="004E7326">
              <w:rPr>
                <w:rFonts w:asciiTheme="minorHAnsi" w:hAnsiTheme="minorHAnsi" w:cstheme="minorHAnsi"/>
                <w:sz w:val="24"/>
                <w:szCs w:val="24"/>
              </w:rPr>
              <w:t>S3</w:t>
            </w:r>
          </w:p>
        </w:tc>
        <w:tc>
          <w:tcPr>
            <w:tcW w:w="56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70089A" w:rsidRPr="004E7326" w:rsidRDefault="0070089A">
            <w:pPr>
              <w:spacing w:line="276" w:lineRule="auto"/>
              <w:jc w:val="center"/>
              <w:rPr>
                <w:rFonts w:asciiTheme="minorHAnsi" w:hAnsiTheme="minorHAnsi" w:cstheme="minorHAnsi"/>
                <w:sz w:val="24"/>
                <w:szCs w:val="24"/>
              </w:rPr>
            </w:pPr>
            <w:r w:rsidRPr="004E7326">
              <w:rPr>
                <w:rFonts w:asciiTheme="minorHAnsi" w:hAnsiTheme="minorHAnsi" w:cstheme="minorHAnsi"/>
                <w:sz w:val="24"/>
                <w:szCs w:val="24"/>
              </w:rPr>
              <w:t>S4</w:t>
            </w:r>
          </w:p>
        </w:tc>
        <w:tc>
          <w:tcPr>
            <w:tcW w:w="64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70089A" w:rsidRPr="004E7326" w:rsidRDefault="0070089A">
            <w:pPr>
              <w:spacing w:line="276" w:lineRule="auto"/>
              <w:jc w:val="center"/>
              <w:rPr>
                <w:rFonts w:asciiTheme="minorHAnsi" w:hAnsiTheme="minorHAnsi" w:cstheme="minorHAnsi"/>
                <w:sz w:val="24"/>
                <w:szCs w:val="24"/>
              </w:rPr>
            </w:pPr>
            <w:r w:rsidRPr="004E7326">
              <w:rPr>
                <w:rFonts w:asciiTheme="minorHAnsi" w:hAnsiTheme="minorHAnsi" w:cstheme="minorHAnsi"/>
                <w:sz w:val="24"/>
                <w:szCs w:val="24"/>
              </w:rPr>
              <w:t>S1</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70089A" w:rsidRPr="004E7326" w:rsidRDefault="0070089A">
            <w:pPr>
              <w:spacing w:line="276" w:lineRule="auto"/>
              <w:jc w:val="center"/>
              <w:rPr>
                <w:rFonts w:asciiTheme="minorHAnsi" w:hAnsiTheme="minorHAnsi" w:cstheme="minorHAnsi"/>
                <w:sz w:val="24"/>
                <w:szCs w:val="24"/>
              </w:rPr>
            </w:pPr>
            <w:r w:rsidRPr="004E7326">
              <w:rPr>
                <w:rFonts w:asciiTheme="minorHAnsi" w:hAnsiTheme="minorHAnsi" w:cstheme="minorHAnsi"/>
                <w:sz w:val="24"/>
                <w:szCs w:val="24"/>
              </w:rPr>
              <w:t>S2</w:t>
            </w:r>
          </w:p>
        </w:tc>
      </w:tr>
      <w:tr w:rsidR="0070089A" w:rsidRPr="004E7326" w:rsidTr="0070089A">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70089A" w:rsidRPr="004E7326" w:rsidRDefault="0070089A">
            <w:pPr>
              <w:spacing w:line="276" w:lineRule="auto"/>
              <w:rPr>
                <w:rFonts w:asciiTheme="minorHAnsi" w:hAnsiTheme="minorHAnsi" w:cstheme="minorHAnsi"/>
                <w:sz w:val="24"/>
                <w:szCs w:val="24"/>
              </w:rPr>
            </w:pPr>
            <w:r w:rsidRPr="004E7326">
              <w:rPr>
                <w:rFonts w:asciiTheme="minorHAnsi" w:hAnsiTheme="minorHAnsi" w:cstheme="minorHAnsi"/>
                <w:sz w:val="24"/>
                <w:szCs w:val="24"/>
              </w:rPr>
              <w:t>Élaborer une méthodologie et développer des outils pour la collecte</w:t>
            </w: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70089A" w:rsidRPr="004E7326" w:rsidRDefault="0070089A">
            <w:pPr>
              <w:spacing w:line="276" w:lineRule="auto"/>
              <w:rPr>
                <w:rFonts w:asciiTheme="minorHAnsi" w:hAnsiTheme="minorHAnsi" w:cstheme="minorHAnsi"/>
                <w:color w:val="FFFFFF"/>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color w:val="FFFFFF"/>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0089A" w:rsidRPr="004E7326" w:rsidRDefault="0070089A">
            <w:pPr>
              <w:spacing w:line="276" w:lineRule="auto"/>
              <w:rPr>
                <w:rFonts w:asciiTheme="minorHAnsi" w:hAnsiTheme="minorHAnsi" w:cstheme="minorHAnsi"/>
                <w:sz w:val="24"/>
                <w:szCs w:val="24"/>
              </w:rPr>
            </w:pPr>
            <w:r w:rsidRPr="004E7326">
              <w:rPr>
                <w:rFonts w:asciiTheme="minorHAnsi" w:hAnsiTheme="minorHAnsi" w:cstheme="minorHAnsi"/>
                <w:sz w:val="24"/>
                <w:szCs w:val="24"/>
              </w:rPr>
              <w:t> </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0089A" w:rsidRPr="004E7326" w:rsidRDefault="0070089A">
            <w:pPr>
              <w:spacing w:line="276" w:lineRule="auto"/>
              <w:rPr>
                <w:rFonts w:asciiTheme="minorHAnsi" w:hAnsiTheme="minorHAnsi" w:cstheme="minorHAnsi"/>
                <w:sz w:val="24"/>
                <w:szCs w:val="24"/>
              </w:rPr>
            </w:pPr>
          </w:p>
        </w:tc>
      </w:tr>
      <w:tr w:rsidR="0070089A" w:rsidRPr="004E7326" w:rsidTr="0070089A">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70089A" w:rsidRPr="004E7326" w:rsidRDefault="0070089A">
            <w:pPr>
              <w:spacing w:line="276" w:lineRule="auto"/>
              <w:rPr>
                <w:rFonts w:asciiTheme="minorHAnsi" w:hAnsiTheme="minorHAnsi" w:cstheme="minorHAnsi"/>
                <w:sz w:val="24"/>
                <w:szCs w:val="24"/>
              </w:rPr>
            </w:pPr>
            <w:r w:rsidRPr="004E7326">
              <w:rPr>
                <w:rFonts w:asciiTheme="minorHAnsi" w:hAnsiTheme="minorHAnsi" w:cstheme="minorHAnsi"/>
                <w:sz w:val="24"/>
                <w:szCs w:val="24"/>
              </w:rPr>
              <w:t xml:space="preserve"> Partager les outils avec UNFPA et toutes les autres agences  ainsi former le personnel de collecte sur les outils</w:t>
            </w: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rPr>
            </w:pPr>
          </w:p>
        </w:tc>
      </w:tr>
      <w:tr w:rsidR="0070089A" w:rsidRPr="004E7326" w:rsidTr="0070089A">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70089A" w:rsidRPr="004E7326" w:rsidRDefault="0070089A">
            <w:pPr>
              <w:spacing w:line="276" w:lineRule="auto"/>
              <w:rPr>
                <w:rFonts w:asciiTheme="minorHAnsi" w:hAnsiTheme="minorHAnsi" w:cstheme="minorHAnsi"/>
                <w:sz w:val="24"/>
                <w:szCs w:val="24"/>
              </w:rPr>
            </w:pPr>
            <w:r w:rsidRPr="004E7326">
              <w:rPr>
                <w:rFonts w:asciiTheme="minorHAnsi" w:hAnsiTheme="minorHAnsi" w:cstheme="minorHAnsi"/>
                <w:sz w:val="24"/>
                <w:szCs w:val="24"/>
              </w:rPr>
              <w:t xml:space="preserve"> Procéder à la revue des documents disponibles et à la collecte et au contrôle des données complémentaires sur le terrain</w:t>
            </w: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rPr>
            </w:pPr>
          </w:p>
        </w:tc>
      </w:tr>
      <w:tr w:rsidR="0070089A" w:rsidRPr="004E7326" w:rsidTr="0070089A">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70089A" w:rsidRPr="004E7326" w:rsidRDefault="0070089A">
            <w:pPr>
              <w:spacing w:line="276" w:lineRule="auto"/>
              <w:rPr>
                <w:rFonts w:asciiTheme="minorHAnsi" w:hAnsiTheme="minorHAnsi" w:cstheme="minorHAnsi"/>
                <w:sz w:val="24"/>
                <w:szCs w:val="24"/>
              </w:rPr>
            </w:pPr>
            <w:r w:rsidRPr="004E7326">
              <w:rPr>
                <w:rFonts w:asciiTheme="minorHAnsi" w:hAnsiTheme="minorHAnsi" w:cstheme="minorHAnsi"/>
                <w:sz w:val="24"/>
                <w:szCs w:val="24"/>
              </w:rPr>
              <w:t xml:space="preserve"> Exploitation</w:t>
            </w: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0089A" w:rsidRPr="004E7326" w:rsidRDefault="0070089A">
            <w:pPr>
              <w:spacing w:line="276" w:lineRule="auto"/>
              <w:rPr>
                <w:rFonts w:asciiTheme="minorHAnsi" w:hAnsiTheme="minorHAnsi" w:cstheme="minorHAnsi"/>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rPr>
            </w:pPr>
          </w:p>
        </w:tc>
      </w:tr>
      <w:tr w:rsidR="0070089A" w:rsidRPr="004E7326" w:rsidTr="0070089A">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70089A" w:rsidRPr="004E7326" w:rsidRDefault="0070089A">
            <w:pPr>
              <w:spacing w:line="276" w:lineRule="auto"/>
              <w:rPr>
                <w:rFonts w:asciiTheme="minorHAnsi" w:hAnsiTheme="minorHAnsi" w:cstheme="minorHAnsi"/>
                <w:sz w:val="24"/>
                <w:szCs w:val="24"/>
              </w:rPr>
            </w:pPr>
            <w:r w:rsidRPr="004E7326">
              <w:rPr>
                <w:rFonts w:asciiTheme="minorHAnsi" w:hAnsiTheme="minorHAnsi" w:cstheme="minorHAnsi"/>
                <w:sz w:val="24"/>
                <w:szCs w:val="24"/>
              </w:rPr>
              <w:t>Analyse + Rapport provisoire</w:t>
            </w: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70089A" w:rsidRPr="004E7326" w:rsidRDefault="0070089A">
            <w:pPr>
              <w:spacing w:line="276" w:lineRule="auto"/>
              <w:rPr>
                <w:rFonts w:asciiTheme="minorHAnsi" w:hAnsiTheme="minorHAnsi" w:cstheme="minorHAnsi"/>
                <w:sz w:val="24"/>
                <w:szCs w:val="24"/>
              </w:rPr>
            </w:pPr>
          </w:p>
        </w:tc>
        <w:tc>
          <w:tcPr>
            <w:tcW w:w="641" w:type="dxa"/>
            <w:tcBorders>
              <w:top w:val="single" w:sz="4" w:space="0" w:color="000000"/>
              <w:left w:val="single" w:sz="4" w:space="0" w:color="000000"/>
              <w:bottom w:val="single" w:sz="4" w:space="0" w:color="000000"/>
              <w:right w:val="single" w:sz="4" w:space="0" w:color="000000"/>
            </w:tcBorders>
            <w:shd w:val="clear" w:color="auto" w:fill="000000" w:themeFill="text1"/>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rPr>
            </w:pPr>
          </w:p>
        </w:tc>
      </w:tr>
      <w:tr w:rsidR="0070089A" w:rsidRPr="004E7326" w:rsidTr="0070089A">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70089A" w:rsidRPr="004E7326" w:rsidRDefault="0070089A">
            <w:pPr>
              <w:spacing w:line="276" w:lineRule="auto"/>
              <w:rPr>
                <w:rFonts w:asciiTheme="minorHAnsi" w:hAnsiTheme="minorHAnsi" w:cstheme="minorHAnsi"/>
                <w:sz w:val="24"/>
                <w:szCs w:val="24"/>
              </w:rPr>
            </w:pPr>
            <w:r w:rsidRPr="004E7326">
              <w:rPr>
                <w:rFonts w:asciiTheme="minorHAnsi" w:hAnsiTheme="minorHAnsi" w:cstheme="minorHAnsi"/>
                <w:sz w:val="24"/>
                <w:szCs w:val="24"/>
              </w:rPr>
              <w:t xml:space="preserve"> Restitution (1 jour) et production rapport final</w:t>
            </w: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70089A" w:rsidRPr="004E7326" w:rsidRDefault="0070089A">
            <w:pPr>
              <w:spacing w:line="276" w:lineRule="auto"/>
              <w:rPr>
                <w:rFonts w:asciiTheme="minorHAnsi" w:hAnsiTheme="minorHAnsi" w:cs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70089A" w:rsidRPr="004E7326" w:rsidRDefault="0070089A">
            <w:pPr>
              <w:spacing w:line="276" w:lineRule="auto"/>
              <w:rPr>
                <w:rFonts w:asciiTheme="minorHAnsi" w:hAnsiTheme="minorHAnsi" w:cstheme="minorHAnsi"/>
                <w:sz w:val="24"/>
                <w:szCs w:val="24"/>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0089A" w:rsidRPr="004E7326" w:rsidRDefault="0070089A">
            <w:pPr>
              <w:spacing w:line="276" w:lineRule="auto"/>
              <w:rPr>
                <w:rFonts w:asciiTheme="minorHAnsi"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70089A" w:rsidRPr="004E7326" w:rsidRDefault="0070089A">
            <w:pPr>
              <w:spacing w:line="276" w:lineRule="auto"/>
              <w:rPr>
                <w:rFonts w:asciiTheme="minorHAnsi" w:hAnsiTheme="minorHAnsi" w:cstheme="minorHAnsi"/>
                <w:sz w:val="24"/>
                <w:szCs w:val="24"/>
              </w:rPr>
            </w:pPr>
          </w:p>
        </w:tc>
      </w:tr>
    </w:tbl>
    <w:p w:rsidR="0070089A" w:rsidRPr="004E7326" w:rsidRDefault="0070089A" w:rsidP="002D631D">
      <w:pPr>
        <w:numPr>
          <w:ilvl w:val="0"/>
          <w:numId w:val="47"/>
        </w:numPr>
        <w:tabs>
          <w:tab w:val="left" w:pos="284"/>
        </w:tabs>
        <w:spacing w:before="240"/>
        <w:jc w:val="both"/>
        <w:rPr>
          <w:rFonts w:asciiTheme="minorHAnsi" w:eastAsia="MS Mincho" w:hAnsiTheme="minorHAnsi" w:cstheme="minorHAnsi"/>
          <w:b/>
          <w:sz w:val="24"/>
          <w:szCs w:val="24"/>
        </w:rPr>
      </w:pPr>
      <w:r w:rsidRPr="004E7326">
        <w:rPr>
          <w:rFonts w:asciiTheme="minorHAnsi" w:hAnsiTheme="minorHAnsi" w:cstheme="minorHAnsi"/>
          <w:b/>
          <w:sz w:val="24"/>
          <w:szCs w:val="24"/>
        </w:rPr>
        <w:t xml:space="preserve">Les résultats attendus sont les suivants : </w:t>
      </w:r>
    </w:p>
    <w:p w:rsidR="0070089A" w:rsidRPr="004E7326" w:rsidRDefault="0070089A" w:rsidP="0070089A">
      <w:pPr>
        <w:numPr>
          <w:ilvl w:val="0"/>
          <w:numId w:val="45"/>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 xml:space="preserve">Un rapport de l’étude, y compris une matrice de suivi-évaluation avec des données sur chacun des indicateurs ci-dessus </w:t>
      </w:r>
    </w:p>
    <w:p w:rsidR="0070089A" w:rsidRPr="004E7326" w:rsidRDefault="0070089A" w:rsidP="0070089A">
      <w:pPr>
        <w:numPr>
          <w:ilvl w:val="0"/>
          <w:numId w:val="45"/>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L’ensemble des bases de données quantitatives (sous SPSS/KOBO, POWERBI/POWERPIVOT) et textuelles.</w:t>
      </w:r>
    </w:p>
    <w:p w:rsidR="0070089A" w:rsidRPr="004E7326" w:rsidRDefault="0070089A" w:rsidP="0070089A">
      <w:pPr>
        <w:tabs>
          <w:tab w:val="left" w:pos="284"/>
        </w:tabs>
        <w:ind w:left="1440"/>
        <w:jc w:val="both"/>
        <w:rPr>
          <w:rFonts w:asciiTheme="minorHAnsi" w:hAnsiTheme="minorHAnsi" w:cstheme="minorHAnsi"/>
          <w:sz w:val="24"/>
          <w:szCs w:val="24"/>
        </w:rPr>
      </w:pPr>
    </w:p>
    <w:p w:rsidR="0070089A" w:rsidRPr="004E7326" w:rsidRDefault="0070089A" w:rsidP="002D631D">
      <w:pPr>
        <w:numPr>
          <w:ilvl w:val="0"/>
          <w:numId w:val="47"/>
        </w:numPr>
        <w:tabs>
          <w:tab w:val="left" w:pos="284"/>
        </w:tabs>
        <w:jc w:val="both"/>
        <w:rPr>
          <w:rFonts w:asciiTheme="minorHAnsi" w:hAnsiTheme="minorHAnsi" w:cstheme="minorHAnsi"/>
          <w:b/>
          <w:sz w:val="24"/>
          <w:szCs w:val="24"/>
        </w:rPr>
      </w:pPr>
      <w:r w:rsidRPr="004E7326">
        <w:rPr>
          <w:rFonts w:asciiTheme="minorHAnsi" w:hAnsiTheme="minorHAnsi" w:cstheme="minorHAnsi"/>
          <w:b/>
          <w:sz w:val="24"/>
          <w:szCs w:val="24"/>
        </w:rPr>
        <w:t>Outils :</w:t>
      </w:r>
    </w:p>
    <w:p w:rsidR="0070089A" w:rsidRPr="004E7326" w:rsidRDefault="0070089A" w:rsidP="0070089A">
      <w:pPr>
        <w:tabs>
          <w:tab w:val="left" w:pos="284"/>
        </w:tabs>
        <w:jc w:val="both"/>
        <w:rPr>
          <w:rFonts w:asciiTheme="minorHAnsi" w:hAnsiTheme="minorHAnsi" w:cstheme="minorHAnsi"/>
          <w:sz w:val="24"/>
          <w:szCs w:val="24"/>
        </w:rPr>
      </w:pPr>
    </w:p>
    <w:p w:rsidR="0070089A" w:rsidRPr="004E7326" w:rsidRDefault="0070089A" w:rsidP="0070089A">
      <w:pPr>
        <w:tabs>
          <w:tab w:val="left" w:pos="284"/>
        </w:tabs>
        <w:ind w:left="360"/>
        <w:jc w:val="both"/>
        <w:rPr>
          <w:rFonts w:asciiTheme="minorHAnsi" w:hAnsiTheme="minorHAnsi" w:cstheme="minorHAnsi"/>
          <w:sz w:val="24"/>
          <w:szCs w:val="24"/>
        </w:rPr>
      </w:pPr>
      <w:r w:rsidRPr="004E7326">
        <w:rPr>
          <w:rFonts w:asciiTheme="minorHAnsi" w:hAnsiTheme="minorHAnsi" w:cstheme="minorHAnsi"/>
          <w:sz w:val="24"/>
          <w:szCs w:val="24"/>
        </w:rPr>
        <w:t>Le cabinet proposera les outils pour chaque type de méthode de collecte.</w:t>
      </w:r>
    </w:p>
    <w:p w:rsidR="0070089A" w:rsidRPr="004E7326" w:rsidRDefault="0070089A" w:rsidP="0070089A">
      <w:pPr>
        <w:numPr>
          <w:ilvl w:val="0"/>
          <w:numId w:val="46"/>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Un questionnaire pour les différentes cibles citées ci-haut ;</w:t>
      </w:r>
    </w:p>
    <w:p w:rsidR="0070089A" w:rsidRPr="004E7326" w:rsidRDefault="0070089A" w:rsidP="0070089A">
      <w:pPr>
        <w:numPr>
          <w:ilvl w:val="0"/>
          <w:numId w:val="46"/>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Un questionnaire d’entretien avec les prestataires de services déconcentrés et décentralisés et de la société civile ;</w:t>
      </w:r>
    </w:p>
    <w:p w:rsidR="0070089A" w:rsidRPr="004E7326" w:rsidRDefault="0070089A" w:rsidP="0070089A">
      <w:pPr>
        <w:numPr>
          <w:ilvl w:val="0"/>
          <w:numId w:val="46"/>
        </w:numPr>
        <w:tabs>
          <w:tab w:val="left" w:pos="284"/>
        </w:tabs>
        <w:jc w:val="both"/>
        <w:rPr>
          <w:rFonts w:asciiTheme="minorHAnsi" w:hAnsiTheme="minorHAnsi" w:cstheme="minorHAnsi"/>
          <w:sz w:val="24"/>
          <w:szCs w:val="24"/>
        </w:rPr>
      </w:pPr>
      <w:r w:rsidRPr="004E7326">
        <w:rPr>
          <w:rFonts w:asciiTheme="minorHAnsi" w:hAnsiTheme="minorHAnsi" w:cstheme="minorHAnsi"/>
          <w:sz w:val="24"/>
          <w:szCs w:val="24"/>
        </w:rPr>
        <w:t>Un guide d’entretien avec les populations bénéficiaires ;</w:t>
      </w:r>
    </w:p>
    <w:p w:rsidR="0070089A" w:rsidRPr="004E7326" w:rsidRDefault="0070089A" w:rsidP="0070089A">
      <w:pPr>
        <w:tabs>
          <w:tab w:val="left" w:pos="284"/>
        </w:tabs>
        <w:ind w:left="1020"/>
        <w:jc w:val="both"/>
        <w:rPr>
          <w:rFonts w:asciiTheme="minorHAnsi" w:hAnsiTheme="minorHAnsi" w:cstheme="minorHAnsi"/>
          <w:sz w:val="24"/>
          <w:szCs w:val="24"/>
        </w:rPr>
      </w:pPr>
    </w:p>
    <w:p w:rsidR="0070089A" w:rsidRPr="004E7326" w:rsidRDefault="0070089A" w:rsidP="002D631D">
      <w:pPr>
        <w:numPr>
          <w:ilvl w:val="0"/>
          <w:numId w:val="47"/>
        </w:numPr>
        <w:tabs>
          <w:tab w:val="left" w:pos="284"/>
        </w:tabs>
        <w:jc w:val="both"/>
        <w:rPr>
          <w:rFonts w:asciiTheme="minorHAnsi" w:hAnsiTheme="minorHAnsi" w:cstheme="minorHAnsi"/>
          <w:b/>
          <w:sz w:val="24"/>
          <w:szCs w:val="24"/>
        </w:rPr>
      </w:pPr>
      <w:r w:rsidRPr="004E7326">
        <w:rPr>
          <w:rFonts w:asciiTheme="minorHAnsi" w:hAnsiTheme="minorHAnsi" w:cstheme="minorHAnsi"/>
          <w:b/>
          <w:sz w:val="24"/>
          <w:szCs w:val="24"/>
        </w:rPr>
        <w:t>Cadre budgétaire</w:t>
      </w:r>
    </w:p>
    <w:p w:rsidR="0070089A" w:rsidRPr="004E7326" w:rsidRDefault="0070089A" w:rsidP="0070089A">
      <w:pPr>
        <w:tabs>
          <w:tab w:val="left" w:pos="284"/>
        </w:tabs>
        <w:jc w:val="both"/>
        <w:rPr>
          <w:rFonts w:asciiTheme="minorHAnsi" w:hAnsiTheme="minorHAnsi" w:cstheme="minorHAnsi"/>
          <w:b/>
          <w:sz w:val="24"/>
          <w:szCs w:val="24"/>
        </w:rPr>
      </w:pPr>
    </w:p>
    <w:p w:rsidR="0070089A" w:rsidRDefault="0070089A" w:rsidP="0070089A">
      <w:pPr>
        <w:tabs>
          <w:tab w:val="left" w:pos="284"/>
        </w:tabs>
        <w:ind w:left="360"/>
        <w:jc w:val="both"/>
        <w:rPr>
          <w:rFonts w:asciiTheme="minorHAnsi" w:hAnsiTheme="minorHAnsi" w:cstheme="minorHAnsi"/>
          <w:sz w:val="24"/>
          <w:szCs w:val="24"/>
        </w:rPr>
      </w:pPr>
      <w:r w:rsidRPr="004E7326">
        <w:rPr>
          <w:rFonts w:asciiTheme="minorHAnsi" w:hAnsiTheme="minorHAnsi" w:cstheme="minorHAnsi"/>
          <w:sz w:val="24"/>
          <w:szCs w:val="24"/>
        </w:rPr>
        <w:t>Les soumissionnaires sont invités à utiliser le cadre budgétaire suivant :</w:t>
      </w:r>
    </w:p>
    <w:p w:rsidR="002D631D" w:rsidRDefault="002D631D" w:rsidP="0070089A">
      <w:pPr>
        <w:tabs>
          <w:tab w:val="left" w:pos="284"/>
        </w:tabs>
        <w:ind w:left="360"/>
        <w:jc w:val="both"/>
        <w:rPr>
          <w:rFonts w:asciiTheme="minorHAnsi" w:hAnsiTheme="minorHAnsi" w:cstheme="minorHAnsi"/>
          <w:sz w:val="24"/>
          <w:szCs w:val="24"/>
        </w:rPr>
      </w:pPr>
    </w:p>
    <w:p w:rsidR="002D631D" w:rsidRDefault="002D631D" w:rsidP="0070089A">
      <w:pPr>
        <w:tabs>
          <w:tab w:val="left" w:pos="284"/>
        </w:tabs>
        <w:ind w:left="360"/>
        <w:jc w:val="both"/>
        <w:rPr>
          <w:rFonts w:asciiTheme="minorHAnsi" w:hAnsiTheme="minorHAnsi" w:cstheme="minorHAnsi"/>
          <w:sz w:val="24"/>
          <w:szCs w:val="24"/>
        </w:rPr>
      </w:pPr>
    </w:p>
    <w:p w:rsidR="002D631D" w:rsidRDefault="002D631D" w:rsidP="0070089A">
      <w:pPr>
        <w:tabs>
          <w:tab w:val="left" w:pos="284"/>
        </w:tabs>
        <w:ind w:left="360"/>
        <w:jc w:val="both"/>
        <w:rPr>
          <w:rFonts w:asciiTheme="minorHAnsi" w:hAnsiTheme="minorHAnsi" w:cstheme="minorHAnsi"/>
          <w:sz w:val="24"/>
          <w:szCs w:val="24"/>
        </w:rPr>
      </w:pPr>
    </w:p>
    <w:p w:rsidR="002D631D" w:rsidRPr="004E7326" w:rsidRDefault="002D631D" w:rsidP="0070089A">
      <w:pPr>
        <w:tabs>
          <w:tab w:val="left" w:pos="284"/>
        </w:tabs>
        <w:ind w:left="360"/>
        <w:jc w:val="both"/>
        <w:rPr>
          <w:rFonts w:asciiTheme="minorHAnsi" w:hAnsiTheme="minorHAnsi" w:cstheme="minorHAnsi"/>
          <w:b/>
          <w:sz w:val="24"/>
          <w:szCs w:val="24"/>
        </w:rPr>
      </w:pPr>
    </w:p>
    <w:p w:rsidR="0070089A" w:rsidRPr="004E7326" w:rsidRDefault="0070089A" w:rsidP="0070089A">
      <w:pPr>
        <w:tabs>
          <w:tab w:val="left" w:pos="284"/>
        </w:tabs>
        <w:ind w:left="360"/>
        <w:jc w:val="both"/>
        <w:rPr>
          <w:rFonts w:asciiTheme="minorHAnsi" w:hAnsiTheme="minorHAnsi" w:cstheme="minorHAnsi"/>
          <w:sz w:val="24"/>
          <w:szCs w:val="24"/>
        </w:rPr>
      </w:pPr>
    </w:p>
    <w:tbl>
      <w:tblPr>
        <w:tblW w:w="92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
        <w:gridCol w:w="2498"/>
        <w:gridCol w:w="1483"/>
        <w:gridCol w:w="1480"/>
        <w:gridCol w:w="1482"/>
        <w:gridCol w:w="1842"/>
      </w:tblGrid>
      <w:tr w:rsidR="0070089A" w:rsidRPr="004E7326" w:rsidTr="0070089A">
        <w:trPr>
          <w:trHeight w:val="544"/>
        </w:trPr>
        <w:tc>
          <w:tcPr>
            <w:tcW w:w="504"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lastRenderedPageBreak/>
              <w:t>No</w:t>
            </w:r>
          </w:p>
        </w:tc>
        <w:tc>
          <w:tcPr>
            <w:tcW w:w="2497"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Rubriques</w:t>
            </w:r>
          </w:p>
        </w:tc>
        <w:tc>
          <w:tcPr>
            <w:tcW w:w="1483"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Quantité</w:t>
            </w:r>
          </w:p>
        </w:tc>
        <w:tc>
          <w:tcPr>
            <w:tcW w:w="1480"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Durée</w:t>
            </w:r>
          </w:p>
        </w:tc>
        <w:tc>
          <w:tcPr>
            <w:tcW w:w="1482"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Prix Unitaire</w:t>
            </w:r>
          </w:p>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(GNF)</w:t>
            </w:r>
          </w:p>
        </w:tc>
        <w:tc>
          <w:tcPr>
            <w:tcW w:w="1842"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Montant total</w:t>
            </w:r>
          </w:p>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(GNF)</w:t>
            </w:r>
          </w:p>
        </w:tc>
      </w:tr>
      <w:tr w:rsidR="0070089A" w:rsidRPr="004E7326" w:rsidTr="0070089A">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I.</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Formation personnel de terrain</w:t>
            </w:r>
          </w:p>
        </w:tc>
      </w:tr>
      <w:tr w:rsidR="0070089A" w:rsidRPr="004E7326" w:rsidTr="0070089A">
        <w:trPr>
          <w:trHeight w:val="265"/>
        </w:trPr>
        <w:tc>
          <w:tcPr>
            <w:tcW w:w="504"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r w:rsidR="0070089A" w:rsidRPr="004E7326" w:rsidTr="0070089A">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II</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Fournitures et équipements</w:t>
            </w:r>
          </w:p>
        </w:tc>
      </w:tr>
      <w:tr w:rsidR="0070089A" w:rsidRPr="004E7326" w:rsidTr="0070089A">
        <w:trPr>
          <w:trHeight w:val="265"/>
        </w:trPr>
        <w:tc>
          <w:tcPr>
            <w:tcW w:w="504"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r w:rsidR="0070089A" w:rsidRPr="004E7326" w:rsidTr="0070089A">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III</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Primes  des personnels de terrain</w:t>
            </w:r>
          </w:p>
        </w:tc>
      </w:tr>
      <w:tr w:rsidR="0070089A" w:rsidRPr="004E7326" w:rsidTr="0070089A">
        <w:trPr>
          <w:trHeight w:val="265"/>
        </w:trPr>
        <w:tc>
          <w:tcPr>
            <w:tcW w:w="504"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r w:rsidR="0070089A" w:rsidRPr="004E7326" w:rsidTr="0070089A">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IV.</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Primes des personnels de traitement des données</w:t>
            </w:r>
          </w:p>
        </w:tc>
      </w:tr>
      <w:tr w:rsidR="0070089A" w:rsidRPr="004E7326" w:rsidTr="0070089A">
        <w:trPr>
          <w:trHeight w:val="265"/>
        </w:trPr>
        <w:tc>
          <w:tcPr>
            <w:tcW w:w="504"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r w:rsidR="0070089A" w:rsidRPr="004E7326" w:rsidTr="0070089A">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V.</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Honoraires consultants (conception et analyste)</w:t>
            </w:r>
          </w:p>
        </w:tc>
      </w:tr>
      <w:tr w:rsidR="0070089A" w:rsidRPr="004E7326" w:rsidTr="0070089A">
        <w:trPr>
          <w:trHeight w:val="265"/>
        </w:trPr>
        <w:tc>
          <w:tcPr>
            <w:tcW w:w="504"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r w:rsidR="0070089A" w:rsidRPr="004E7326" w:rsidTr="0070089A">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VI.</w:t>
            </w:r>
          </w:p>
        </w:tc>
        <w:tc>
          <w:tcPr>
            <w:tcW w:w="2497"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Logistiques</w:t>
            </w: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r w:rsidR="0070089A" w:rsidRPr="004E7326" w:rsidTr="0070089A">
        <w:trPr>
          <w:trHeight w:val="265"/>
        </w:trPr>
        <w:tc>
          <w:tcPr>
            <w:tcW w:w="504"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r w:rsidR="0070089A" w:rsidRPr="004E7326" w:rsidTr="0070089A">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VII</w:t>
            </w:r>
          </w:p>
        </w:tc>
        <w:tc>
          <w:tcPr>
            <w:tcW w:w="2497"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tabs>
                <w:tab w:val="left" w:pos="284"/>
              </w:tabs>
              <w:spacing w:line="276" w:lineRule="auto"/>
              <w:jc w:val="both"/>
              <w:rPr>
                <w:rFonts w:asciiTheme="minorHAnsi" w:hAnsiTheme="minorHAnsi" w:cstheme="minorHAnsi"/>
                <w:b/>
                <w:sz w:val="24"/>
                <w:szCs w:val="24"/>
              </w:rPr>
            </w:pPr>
            <w:r w:rsidRPr="004E7326">
              <w:rPr>
                <w:rFonts w:asciiTheme="minorHAnsi" w:hAnsiTheme="minorHAnsi" w:cstheme="minorHAnsi"/>
                <w:b/>
                <w:sz w:val="24"/>
                <w:szCs w:val="24"/>
              </w:rPr>
              <w:t>Charges administratives</w:t>
            </w: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r w:rsidR="0070089A" w:rsidRPr="004E7326" w:rsidTr="0070089A">
        <w:trPr>
          <w:trHeight w:val="280"/>
        </w:trPr>
        <w:tc>
          <w:tcPr>
            <w:tcW w:w="504"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089A" w:rsidRPr="004E7326" w:rsidRDefault="0070089A">
            <w:pPr>
              <w:tabs>
                <w:tab w:val="left" w:pos="284"/>
              </w:tabs>
              <w:spacing w:line="276" w:lineRule="auto"/>
              <w:jc w:val="both"/>
              <w:rPr>
                <w:rFonts w:asciiTheme="minorHAnsi" w:hAnsiTheme="minorHAnsi" w:cstheme="minorHAnsi"/>
                <w:b/>
                <w:sz w:val="24"/>
                <w:szCs w:val="24"/>
              </w:rPr>
            </w:pPr>
          </w:p>
        </w:tc>
      </w:tr>
    </w:tbl>
    <w:p w:rsidR="0070089A" w:rsidRPr="004E7326" w:rsidRDefault="0070089A" w:rsidP="0070089A">
      <w:pPr>
        <w:rPr>
          <w:rFonts w:asciiTheme="minorHAnsi" w:eastAsia="MS Mincho" w:hAnsiTheme="minorHAnsi" w:cstheme="minorHAnsi"/>
          <w:sz w:val="24"/>
          <w:szCs w:val="24"/>
        </w:rPr>
      </w:pPr>
    </w:p>
    <w:p w:rsidR="0070089A" w:rsidRPr="004E7326" w:rsidRDefault="0070089A" w:rsidP="0070089A">
      <w:pPr>
        <w:rPr>
          <w:rFonts w:asciiTheme="minorHAnsi" w:hAnsiTheme="minorHAnsi" w:cstheme="minorHAnsi"/>
          <w:sz w:val="24"/>
          <w:szCs w:val="24"/>
        </w:rPr>
      </w:pPr>
    </w:p>
    <w:p w:rsidR="0070089A" w:rsidRPr="004E7326" w:rsidRDefault="0070089A" w:rsidP="0070089A">
      <w:pPr>
        <w:rPr>
          <w:rFonts w:asciiTheme="minorHAnsi" w:hAnsiTheme="minorHAnsi" w:cstheme="minorHAnsi"/>
          <w:sz w:val="24"/>
          <w:szCs w:val="24"/>
        </w:rPr>
      </w:pPr>
      <w:r w:rsidRPr="004E7326">
        <w:rPr>
          <w:rFonts w:asciiTheme="minorHAnsi" w:hAnsiTheme="minorHAnsi" w:cstheme="minorHAnsi"/>
          <w:sz w:val="24"/>
          <w:szCs w:val="24"/>
        </w:rPr>
        <w:t>Proposition de matrice de suivi des indicateurs</w:t>
      </w:r>
    </w:p>
    <w:p w:rsidR="0070089A" w:rsidRPr="004E7326" w:rsidRDefault="0070089A" w:rsidP="0070089A">
      <w:pPr>
        <w:rPr>
          <w:rFonts w:asciiTheme="minorHAnsi" w:hAnsiTheme="minorHAnsi" w:cstheme="minorHAnsi"/>
          <w:sz w:val="24"/>
          <w:szCs w:val="24"/>
        </w:rPr>
      </w:pPr>
    </w:p>
    <w:tbl>
      <w:tblPr>
        <w:tblW w:w="117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347"/>
        <w:gridCol w:w="1615"/>
        <w:gridCol w:w="979"/>
        <w:gridCol w:w="978"/>
        <w:gridCol w:w="978"/>
        <w:gridCol w:w="839"/>
        <w:gridCol w:w="839"/>
        <w:gridCol w:w="977"/>
        <w:gridCol w:w="1398"/>
      </w:tblGrid>
      <w:tr w:rsidR="0070089A" w:rsidRPr="004E7326" w:rsidTr="002D631D">
        <w:trPr>
          <w:trHeight w:val="639"/>
        </w:trPr>
        <w:tc>
          <w:tcPr>
            <w:tcW w:w="1821" w:type="dxa"/>
            <w:tcBorders>
              <w:top w:val="single" w:sz="4" w:space="0" w:color="auto"/>
              <w:left w:val="single" w:sz="4" w:space="0" w:color="auto"/>
              <w:bottom w:val="single" w:sz="4" w:space="0" w:color="auto"/>
              <w:right w:val="single" w:sz="4" w:space="0" w:color="auto"/>
            </w:tcBorders>
            <w:hideMark/>
          </w:tcPr>
          <w:p w:rsidR="0070089A" w:rsidRPr="004E7326" w:rsidRDefault="0070089A">
            <w:pPr>
              <w:spacing w:line="276" w:lineRule="auto"/>
              <w:jc w:val="both"/>
              <w:rPr>
                <w:rFonts w:asciiTheme="minorHAnsi" w:hAnsiTheme="minorHAnsi" w:cstheme="minorHAnsi"/>
                <w:color w:val="000000"/>
                <w:sz w:val="24"/>
                <w:szCs w:val="24"/>
                <w:u w:val="single"/>
              </w:rPr>
            </w:pPr>
            <w:r w:rsidRPr="004E7326">
              <w:rPr>
                <w:rFonts w:asciiTheme="minorHAnsi" w:hAnsiTheme="minorHAnsi" w:cstheme="minorHAnsi"/>
                <w:color w:val="000000"/>
                <w:sz w:val="24"/>
                <w:szCs w:val="24"/>
                <w:u w:val="single"/>
              </w:rPr>
              <w:t>Chaine de résultats</w:t>
            </w:r>
          </w:p>
        </w:tc>
        <w:tc>
          <w:tcPr>
            <w:tcW w:w="1347"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Indicateurs</w:t>
            </w:r>
          </w:p>
        </w:tc>
        <w:tc>
          <w:tcPr>
            <w:tcW w:w="1615"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Description et mode de calcul</w:t>
            </w:r>
          </w:p>
        </w:tc>
        <w:tc>
          <w:tcPr>
            <w:tcW w:w="979"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Unité de mesure</w:t>
            </w:r>
          </w:p>
        </w:tc>
        <w:tc>
          <w:tcPr>
            <w:tcW w:w="978"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Méthodes / sources</w:t>
            </w:r>
          </w:p>
        </w:tc>
        <w:tc>
          <w:tcPr>
            <w:tcW w:w="978"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Technique de collecte</w:t>
            </w:r>
          </w:p>
        </w:tc>
        <w:tc>
          <w:tcPr>
            <w:tcW w:w="839"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Fréquence de collecte</w:t>
            </w:r>
          </w:p>
        </w:tc>
        <w:tc>
          <w:tcPr>
            <w:tcW w:w="839"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Responsable de collecte</w:t>
            </w:r>
          </w:p>
        </w:tc>
        <w:tc>
          <w:tcPr>
            <w:tcW w:w="977"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Valeur de référence</w:t>
            </w:r>
          </w:p>
        </w:tc>
        <w:tc>
          <w:tcPr>
            <w:tcW w:w="1398"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Cible</w:t>
            </w:r>
          </w:p>
        </w:tc>
      </w:tr>
      <w:tr w:rsidR="0070089A" w:rsidRPr="004E7326" w:rsidTr="002D631D">
        <w:trPr>
          <w:trHeight w:val="649"/>
        </w:trPr>
        <w:tc>
          <w:tcPr>
            <w:tcW w:w="1821" w:type="dxa"/>
            <w:vMerge w:val="restart"/>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eastAsia="MS Mincho" w:hAnsiTheme="minorHAnsi" w:cstheme="minorHAnsi"/>
                <w:sz w:val="24"/>
                <w:szCs w:val="24"/>
                <w:lang w:eastAsia="fr-FR"/>
              </w:rPr>
            </w:pPr>
            <w:r w:rsidRPr="004E7326">
              <w:rPr>
                <w:rFonts w:asciiTheme="minorHAnsi" w:hAnsiTheme="minorHAnsi" w:cstheme="minorHAnsi"/>
                <w:sz w:val="24"/>
                <w:szCs w:val="24"/>
                <w:lang w:eastAsia="fr-FR"/>
              </w:rPr>
              <w:t xml:space="preserve">Résultat 1 : </w:t>
            </w:r>
          </w:p>
          <w:p w:rsidR="0070089A" w:rsidRPr="004E7326" w:rsidRDefault="0070089A">
            <w:pPr>
              <w:spacing w:line="276" w:lineRule="auto"/>
              <w:rPr>
                <w:rFonts w:asciiTheme="minorHAnsi" w:hAnsiTheme="minorHAnsi" w:cstheme="minorHAnsi"/>
                <w:sz w:val="24"/>
                <w:szCs w:val="24"/>
                <w:lang w:eastAsia="fr-FR"/>
              </w:rPr>
            </w:pPr>
          </w:p>
        </w:tc>
        <w:tc>
          <w:tcPr>
            <w:tcW w:w="1347"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 xml:space="preserve">Indicateur 1 a : </w:t>
            </w:r>
          </w:p>
        </w:tc>
        <w:tc>
          <w:tcPr>
            <w:tcW w:w="1615"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979"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97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97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839"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839"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977"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H :</w:t>
            </w:r>
          </w:p>
          <w:p w:rsidR="0070089A" w:rsidRPr="004E7326" w:rsidRDefault="0070089A">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F :</w:t>
            </w:r>
          </w:p>
          <w:p w:rsidR="0070089A" w:rsidRPr="004E7326" w:rsidRDefault="0070089A">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Jeunes :</w:t>
            </w:r>
          </w:p>
        </w:tc>
        <w:tc>
          <w:tcPr>
            <w:tcW w:w="139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r>
      <w:tr w:rsidR="0070089A" w:rsidRPr="004E7326" w:rsidTr="002D631D">
        <w:trPr>
          <w:trHeight w:val="436"/>
        </w:trPr>
        <w:tc>
          <w:tcPr>
            <w:tcW w:w="1821" w:type="dxa"/>
            <w:vMerge/>
            <w:tcBorders>
              <w:top w:val="single" w:sz="4" w:space="0" w:color="auto"/>
              <w:left w:val="single" w:sz="4" w:space="0" w:color="auto"/>
              <w:bottom w:val="single" w:sz="4" w:space="0" w:color="auto"/>
              <w:right w:val="single" w:sz="4" w:space="0" w:color="auto"/>
            </w:tcBorders>
            <w:vAlign w:val="center"/>
            <w:hideMark/>
          </w:tcPr>
          <w:p w:rsidR="0070089A" w:rsidRPr="004E7326" w:rsidRDefault="0070089A">
            <w:pPr>
              <w:spacing w:line="276" w:lineRule="auto"/>
              <w:rPr>
                <w:rFonts w:asciiTheme="minorHAnsi" w:eastAsia="MS Mincho" w:hAnsiTheme="minorHAnsi" w:cstheme="minorHAnsi"/>
                <w:sz w:val="24"/>
                <w:szCs w:val="24"/>
                <w:lang w:eastAsia="fr-FR"/>
              </w:rPr>
            </w:pPr>
          </w:p>
        </w:tc>
        <w:tc>
          <w:tcPr>
            <w:tcW w:w="1347" w:type="dxa"/>
            <w:tcBorders>
              <w:top w:val="single" w:sz="4" w:space="0" w:color="000000"/>
              <w:left w:val="single" w:sz="4" w:space="0" w:color="000000"/>
              <w:bottom w:val="single" w:sz="4" w:space="0" w:color="000000"/>
              <w:right w:val="single" w:sz="4" w:space="0" w:color="000000"/>
            </w:tcBorders>
            <w:hideMark/>
          </w:tcPr>
          <w:p w:rsidR="0070089A" w:rsidRPr="004E7326" w:rsidRDefault="0070089A">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 xml:space="preserve">Indicateur 1 b : </w:t>
            </w:r>
          </w:p>
        </w:tc>
        <w:tc>
          <w:tcPr>
            <w:tcW w:w="1615"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979"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97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97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839"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839"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977"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c>
          <w:tcPr>
            <w:tcW w:w="1398" w:type="dxa"/>
            <w:tcBorders>
              <w:top w:val="single" w:sz="4" w:space="0" w:color="000000"/>
              <w:left w:val="single" w:sz="4" w:space="0" w:color="000000"/>
              <w:bottom w:val="single" w:sz="4" w:space="0" w:color="000000"/>
              <w:right w:val="single" w:sz="4" w:space="0" w:color="000000"/>
            </w:tcBorders>
          </w:tcPr>
          <w:p w:rsidR="0070089A" w:rsidRPr="004E7326" w:rsidRDefault="0070089A">
            <w:pPr>
              <w:spacing w:line="276" w:lineRule="auto"/>
              <w:rPr>
                <w:rFonts w:asciiTheme="minorHAnsi" w:hAnsiTheme="minorHAnsi" w:cstheme="minorHAnsi"/>
                <w:sz w:val="24"/>
                <w:szCs w:val="24"/>
                <w:lang w:eastAsia="fr-FR"/>
              </w:rPr>
            </w:pPr>
          </w:p>
        </w:tc>
      </w:tr>
      <w:tr w:rsidR="0070089A" w:rsidRPr="004E7326" w:rsidTr="002D631D">
        <w:trPr>
          <w:trHeight w:val="929"/>
        </w:trPr>
        <w:tc>
          <w:tcPr>
            <w:tcW w:w="1821" w:type="dxa"/>
            <w:tcBorders>
              <w:top w:val="single" w:sz="4" w:space="0" w:color="auto"/>
              <w:left w:val="single" w:sz="4" w:space="0" w:color="auto"/>
              <w:bottom w:val="single" w:sz="4" w:space="0" w:color="auto"/>
              <w:right w:val="single" w:sz="4" w:space="0" w:color="auto"/>
            </w:tcBorders>
            <w:hideMark/>
          </w:tcPr>
          <w:p w:rsidR="0070089A" w:rsidRPr="004E7326" w:rsidRDefault="0070089A">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 xml:space="preserve">Produit 1.1 : </w:t>
            </w:r>
          </w:p>
        </w:tc>
        <w:tc>
          <w:tcPr>
            <w:tcW w:w="1347" w:type="dxa"/>
            <w:tcBorders>
              <w:top w:val="single" w:sz="4" w:space="0" w:color="auto"/>
              <w:left w:val="single" w:sz="4" w:space="0" w:color="auto"/>
              <w:bottom w:val="single" w:sz="4" w:space="0" w:color="auto"/>
              <w:right w:val="single" w:sz="4" w:space="0" w:color="auto"/>
            </w:tcBorders>
            <w:hideMark/>
          </w:tcPr>
          <w:p w:rsidR="0070089A" w:rsidRPr="004E7326" w:rsidRDefault="0070089A">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 xml:space="preserve">Indicateur 1.1: </w:t>
            </w:r>
          </w:p>
        </w:tc>
        <w:tc>
          <w:tcPr>
            <w:tcW w:w="1615" w:type="dxa"/>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hAnsiTheme="minorHAnsi" w:cstheme="minorHAnsi"/>
                <w:sz w:val="24"/>
                <w:szCs w:val="24"/>
                <w:lang w:eastAsia="fr-FR"/>
              </w:rPr>
            </w:pPr>
          </w:p>
        </w:tc>
        <w:tc>
          <w:tcPr>
            <w:tcW w:w="979" w:type="dxa"/>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hAnsiTheme="minorHAnsi" w:cstheme="minorHAnsi"/>
                <w:sz w:val="24"/>
                <w:szCs w:val="24"/>
                <w:lang w:eastAsia="fr-FR"/>
              </w:rPr>
            </w:pPr>
          </w:p>
        </w:tc>
        <w:tc>
          <w:tcPr>
            <w:tcW w:w="978" w:type="dxa"/>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hAnsiTheme="minorHAnsi" w:cstheme="minorHAnsi"/>
                <w:sz w:val="24"/>
                <w:szCs w:val="24"/>
                <w:lang w:eastAsia="fr-FR"/>
              </w:rPr>
            </w:pPr>
          </w:p>
        </w:tc>
        <w:tc>
          <w:tcPr>
            <w:tcW w:w="978" w:type="dxa"/>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hAnsiTheme="minorHAnsi" w:cstheme="minorHAnsi"/>
                <w:sz w:val="24"/>
                <w:szCs w:val="24"/>
                <w:lang w:eastAsia="fr-FR"/>
              </w:rPr>
            </w:pPr>
          </w:p>
        </w:tc>
        <w:tc>
          <w:tcPr>
            <w:tcW w:w="839" w:type="dxa"/>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hAnsiTheme="minorHAnsi" w:cstheme="minorHAnsi"/>
                <w:sz w:val="24"/>
                <w:szCs w:val="24"/>
                <w:lang w:eastAsia="fr-FR"/>
              </w:rPr>
            </w:pPr>
          </w:p>
        </w:tc>
        <w:tc>
          <w:tcPr>
            <w:tcW w:w="839" w:type="dxa"/>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hAnsiTheme="minorHAnsi" w:cstheme="minorHAnsi"/>
                <w:sz w:val="24"/>
                <w:szCs w:val="24"/>
                <w:lang w:eastAsia="fr-FR"/>
              </w:rPr>
            </w:pPr>
          </w:p>
        </w:tc>
        <w:tc>
          <w:tcPr>
            <w:tcW w:w="977" w:type="dxa"/>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hAnsiTheme="minorHAnsi" w:cstheme="minorHAnsi"/>
                <w:sz w:val="24"/>
                <w:szCs w:val="24"/>
                <w:lang w:eastAsia="fr-FR"/>
              </w:rPr>
            </w:pPr>
          </w:p>
        </w:tc>
        <w:tc>
          <w:tcPr>
            <w:tcW w:w="1398" w:type="dxa"/>
            <w:tcBorders>
              <w:top w:val="single" w:sz="4" w:space="0" w:color="auto"/>
              <w:left w:val="single" w:sz="4" w:space="0" w:color="auto"/>
              <w:bottom w:val="single" w:sz="4" w:space="0" w:color="auto"/>
              <w:right w:val="single" w:sz="4" w:space="0" w:color="auto"/>
            </w:tcBorders>
          </w:tcPr>
          <w:p w:rsidR="0070089A" w:rsidRPr="004E7326" w:rsidRDefault="0070089A">
            <w:pPr>
              <w:spacing w:line="276" w:lineRule="auto"/>
              <w:rPr>
                <w:rFonts w:asciiTheme="minorHAnsi" w:hAnsiTheme="minorHAnsi" w:cstheme="minorHAnsi"/>
                <w:sz w:val="24"/>
                <w:szCs w:val="24"/>
                <w:lang w:eastAsia="fr-FR"/>
              </w:rPr>
            </w:pPr>
          </w:p>
        </w:tc>
      </w:tr>
    </w:tbl>
    <w:p w:rsidR="0070089A" w:rsidRPr="004E7326" w:rsidRDefault="0070089A" w:rsidP="0070089A">
      <w:pPr>
        <w:rPr>
          <w:rFonts w:asciiTheme="minorHAnsi" w:eastAsia="MS Mincho" w:hAnsiTheme="minorHAnsi" w:cstheme="minorHAnsi"/>
          <w:sz w:val="24"/>
          <w:szCs w:val="24"/>
        </w:rPr>
      </w:pPr>
    </w:p>
    <w:p w:rsidR="00CA7E9D" w:rsidRPr="004E7326" w:rsidRDefault="00CA7E9D">
      <w:pPr>
        <w:jc w:val="both"/>
        <w:rPr>
          <w:rFonts w:asciiTheme="minorHAnsi" w:eastAsia="Calibri" w:hAnsiTheme="minorHAnsi" w:cstheme="minorHAnsi"/>
          <w:sz w:val="24"/>
          <w:szCs w:val="24"/>
        </w:rPr>
      </w:pPr>
    </w:p>
    <w:p w:rsidR="00CA7E9D" w:rsidRDefault="00CA7E9D">
      <w:pPr>
        <w:jc w:val="both"/>
        <w:rPr>
          <w:rFonts w:asciiTheme="minorHAnsi" w:eastAsia="Calibri" w:hAnsiTheme="minorHAnsi" w:cstheme="minorHAnsi"/>
          <w:sz w:val="24"/>
          <w:szCs w:val="24"/>
        </w:rPr>
      </w:pPr>
    </w:p>
    <w:p w:rsidR="002D631D" w:rsidRPr="004E7326" w:rsidRDefault="002D631D">
      <w:pPr>
        <w:jc w:val="both"/>
        <w:rPr>
          <w:rFonts w:asciiTheme="minorHAnsi" w:eastAsia="Calibri" w:hAnsiTheme="minorHAnsi" w:cstheme="minorHAnsi"/>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lastRenderedPageBreak/>
        <w:t xml:space="preserve">Questions </w:t>
      </w:r>
    </w:p>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Les demandes de clarification doivent être communiquées par écrit au contact ci-dessous :</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u w:val="single"/>
        </w:rPr>
      </w:pPr>
    </w:p>
    <w:tbl>
      <w:tblPr>
        <w:tblStyle w:val="a7"/>
        <w:tblW w:w="8940"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ayout w:type="fixed"/>
        <w:tblLook w:val="0400" w:firstRow="0" w:lastRow="0" w:firstColumn="0" w:lastColumn="0" w:noHBand="0" w:noVBand="1"/>
      </w:tblPr>
      <w:tblGrid>
        <w:gridCol w:w="3509"/>
        <w:gridCol w:w="5431"/>
      </w:tblGrid>
      <w:tr w:rsidR="00CA7E9D" w:rsidRPr="004E7326">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Adresse e-mail du contact :</w:t>
            </w:r>
          </w:p>
        </w:tc>
        <w:tc>
          <w:tcPr>
            <w:tcW w:w="543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4"/>
                <w:szCs w:val="24"/>
                <w:highlight w:val="yellow"/>
              </w:rPr>
            </w:pPr>
            <w:r w:rsidRPr="004E7326">
              <w:rPr>
                <w:rFonts w:asciiTheme="minorHAnsi" w:eastAsia="Calibri" w:hAnsiTheme="minorHAnsi" w:cstheme="minorHAnsi"/>
                <w:i/>
                <w:color w:val="000000"/>
                <w:sz w:val="24"/>
                <w:szCs w:val="24"/>
              </w:rPr>
              <w:t>perna@unfpa.org</w:t>
            </w:r>
          </w:p>
        </w:tc>
      </w:tr>
    </w:tbl>
    <w:p w:rsidR="00CA7E9D" w:rsidRPr="004E7326" w:rsidRDefault="00CA7E9D">
      <w:pPr>
        <w:tabs>
          <w:tab w:val="left" w:pos="1200"/>
        </w:tabs>
        <w:jc w:val="both"/>
        <w:rPr>
          <w:rFonts w:asciiTheme="minorHAnsi" w:eastAsia="Calibri" w:hAnsiTheme="minorHAnsi" w:cstheme="minorHAnsi"/>
          <w:sz w:val="24"/>
          <w:szCs w:val="24"/>
        </w:rPr>
      </w:pPr>
    </w:p>
    <w:p w:rsidR="00CA7E9D" w:rsidRPr="004E7326" w:rsidRDefault="003C09BE">
      <w:pPr>
        <w:tabs>
          <w:tab w:val="left" w:pos="6630"/>
          <w:tab w:val="left" w:pos="912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 xml:space="preserve">La date limite pour soumettre des questions est fixée au </w:t>
      </w:r>
      <w:r w:rsidRPr="004E7326">
        <w:rPr>
          <w:rFonts w:asciiTheme="minorHAnsi" w:eastAsia="Calibri" w:hAnsiTheme="minorHAnsi" w:cstheme="minorHAnsi"/>
          <w:b/>
          <w:sz w:val="24"/>
          <w:szCs w:val="24"/>
        </w:rPr>
        <w:t>plus tard</w:t>
      </w:r>
      <w:r w:rsidRPr="004E7326">
        <w:rPr>
          <w:rFonts w:asciiTheme="minorHAnsi" w:eastAsia="Calibri" w:hAnsiTheme="minorHAnsi" w:cstheme="minorHAnsi"/>
          <w:sz w:val="24"/>
          <w:szCs w:val="24"/>
        </w:rPr>
        <w:t xml:space="preserve"> le </w:t>
      </w:r>
      <w:r w:rsidRPr="004E7326">
        <w:rPr>
          <w:rFonts w:asciiTheme="minorHAnsi" w:eastAsia="Calibri" w:hAnsiTheme="minorHAnsi" w:cstheme="minorHAnsi"/>
          <w:b/>
          <w:sz w:val="24"/>
          <w:szCs w:val="24"/>
        </w:rPr>
        <w:t xml:space="preserve">Lundi </w:t>
      </w:r>
      <w:r w:rsidR="002D631D">
        <w:rPr>
          <w:rFonts w:asciiTheme="minorHAnsi" w:eastAsia="Calibri" w:hAnsiTheme="minorHAnsi" w:cstheme="minorHAnsi"/>
          <w:b/>
          <w:sz w:val="24"/>
          <w:szCs w:val="24"/>
        </w:rPr>
        <w:t>31</w:t>
      </w:r>
      <w:r w:rsidRPr="004E7326">
        <w:rPr>
          <w:rFonts w:asciiTheme="minorHAnsi" w:eastAsia="Calibri" w:hAnsiTheme="minorHAnsi" w:cstheme="minorHAnsi"/>
          <w:b/>
          <w:sz w:val="24"/>
          <w:szCs w:val="24"/>
        </w:rPr>
        <w:t xml:space="preserve"> </w:t>
      </w:r>
      <w:r w:rsidR="002D631D">
        <w:rPr>
          <w:rFonts w:asciiTheme="minorHAnsi" w:eastAsia="Calibri" w:hAnsiTheme="minorHAnsi" w:cstheme="minorHAnsi"/>
          <w:b/>
          <w:sz w:val="24"/>
          <w:szCs w:val="24"/>
        </w:rPr>
        <w:t>Octobre 2022</w:t>
      </w:r>
      <w:r w:rsidRPr="004E7326">
        <w:rPr>
          <w:rFonts w:asciiTheme="minorHAnsi" w:eastAsia="Calibri" w:hAnsiTheme="minorHAnsi" w:cstheme="minorHAnsi"/>
          <w:b/>
          <w:sz w:val="24"/>
          <w:szCs w:val="24"/>
        </w:rPr>
        <w:t xml:space="preserve"> à 16h.</w:t>
      </w:r>
      <w:r w:rsidRPr="004E7326">
        <w:rPr>
          <w:rFonts w:asciiTheme="minorHAnsi" w:eastAsia="Calibri" w:hAnsiTheme="minorHAnsi" w:cstheme="minorHAnsi"/>
          <w:sz w:val="24"/>
          <w:szCs w:val="24"/>
        </w:rPr>
        <w:t>Les réponses aux questions seront communiquées par écrit à toutes les parties le plus rapidement possible après ce délai.</w:t>
      </w:r>
    </w:p>
    <w:p w:rsidR="00CA7E9D" w:rsidRPr="004E7326" w:rsidRDefault="00CA7E9D">
      <w:pPr>
        <w:tabs>
          <w:tab w:val="left" w:pos="1200"/>
        </w:tabs>
        <w:jc w:val="both"/>
        <w:rPr>
          <w:rFonts w:asciiTheme="minorHAnsi" w:eastAsia="Calibri" w:hAnsiTheme="minorHAnsi" w:cstheme="minorHAnsi"/>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Contenu des cotations</w:t>
      </w:r>
    </w:p>
    <w:p w:rsidR="00CA7E9D" w:rsidRPr="004E7326" w:rsidRDefault="003C09BE">
      <w:pPr>
        <w:tabs>
          <w:tab w:val="left" w:pos="6630"/>
          <w:tab w:val="left" w:pos="912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Les cotations doivent être envoyées en un seul e-mail, si la taille le permet. Les devis doivent contenir :</w:t>
      </w:r>
    </w:p>
    <w:p w:rsidR="00CA7E9D" w:rsidRPr="004E7326" w:rsidRDefault="00CA7E9D">
      <w:pPr>
        <w:tabs>
          <w:tab w:val="left" w:pos="6630"/>
          <w:tab w:val="left" w:pos="9120"/>
        </w:tabs>
        <w:jc w:val="both"/>
        <w:rPr>
          <w:rFonts w:asciiTheme="minorHAnsi" w:eastAsia="Calibri" w:hAnsiTheme="minorHAnsi" w:cstheme="minorHAnsi"/>
          <w:sz w:val="24"/>
          <w:szCs w:val="24"/>
        </w:rPr>
      </w:pPr>
    </w:p>
    <w:p w:rsidR="00CA7E9D" w:rsidRPr="004E7326" w:rsidRDefault="003C09BE">
      <w:pPr>
        <w:numPr>
          <w:ilvl w:val="0"/>
          <w:numId w:val="12"/>
        </w:numPr>
        <w:pBdr>
          <w:top w:val="nil"/>
          <w:left w:val="nil"/>
          <w:bottom w:val="nil"/>
          <w:right w:val="nil"/>
          <w:between w:val="nil"/>
        </w:pBdr>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L’offre technique, correspondant aux exigences définies dans les spécifications et le cahier des charges.</w:t>
      </w:r>
    </w:p>
    <w:p w:rsidR="00CA7E9D" w:rsidRPr="004E7326" w:rsidRDefault="003C09BE">
      <w:pPr>
        <w:numPr>
          <w:ilvl w:val="0"/>
          <w:numId w:val="12"/>
        </w:num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Le devis financier, en respectant strictement le formulaire de devis financier.</w:t>
      </w:r>
    </w:p>
    <w:p w:rsidR="00CA7E9D" w:rsidRPr="004E7326" w:rsidRDefault="00CA7E9D">
      <w:pPr>
        <w:jc w:val="both"/>
        <w:rPr>
          <w:rFonts w:asciiTheme="minorHAnsi" w:eastAsia="Calibri" w:hAnsiTheme="minorHAnsi" w:cstheme="minorHAnsi"/>
          <w:sz w:val="24"/>
          <w:szCs w:val="24"/>
        </w:rPr>
      </w:pP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Les deux parties de la cotation doivent être signées par l’autorité compétente de la société soumissionnaire et envoyées en format PDF.</w:t>
      </w:r>
    </w:p>
    <w:p w:rsidR="00CA7E9D" w:rsidRPr="004E7326" w:rsidRDefault="00CA7E9D">
      <w:pPr>
        <w:tabs>
          <w:tab w:val="left" w:pos="6630"/>
          <w:tab w:val="left" w:pos="9120"/>
        </w:tabs>
        <w:jc w:val="both"/>
        <w:rPr>
          <w:rFonts w:asciiTheme="minorHAnsi" w:eastAsia="Calibri" w:hAnsiTheme="minorHAnsi" w:cstheme="minorHAnsi"/>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 xml:space="preserve">Instructions de soumission </w:t>
      </w:r>
    </w:p>
    <w:p w:rsidR="00CA7E9D" w:rsidRPr="004E7326" w:rsidRDefault="00CA7E9D">
      <w:pPr>
        <w:jc w:val="both"/>
        <w:rPr>
          <w:rFonts w:asciiTheme="minorHAnsi" w:eastAsia="Calibri" w:hAnsiTheme="minorHAnsi" w:cstheme="minorHAnsi"/>
          <w:sz w:val="24"/>
          <w:szCs w:val="24"/>
        </w:rPr>
      </w:pP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 xml:space="preserve">Les offres doivent être préparées conformément aux recommandations présentées dans la section III  </w:t>
      </w:r>
    </w:p>
    <w:p w:rsidR="00CA7E9D" w:rsidRPr="004E7326" w:rsidRDefault="003C09BE">
      <w:pPr>
        <w:jc w:val="both"/>
        <w:rPr>
          <w:rFonts w:asciiTheme="minorHAnsi" w:eastAsia="Calibri" w:hAnsiTheme="minorHAnsi" w:cstheme="minorHAnsi"/>
          <w:b/>
          <w:sz w:val="24"/>
          <w:szCs w:val="24"/>
        </w:rPr>
      </w:pPr>
      <w:r w:rsidRPr="004E7326">
        <w:rPr>
          <w:rFonts w:asciiTheme="minorHAnsi" w:eastAsia="Calibri" w:hAnsiTheme="minorHAnsi" w:cstheme="minorHAnsi"/>
          <w:sz w:val="24"/>
          <w:szCs w:val="24"/>
        </w:rPr>
        <w:t>ci-dessus et envoyées exclusivement par e-mail</w:t>
      </w:r>
      <w:r w:rsidRPr="004E7326">
        <w:rPr>
          <w:rFonts w:asciiTheme="minorHAnsi" w:eastAsia="Calibri" w:hAnsiTheme="minorHAnsi" w:cstheme="minorHAnsi"/>
          <w:b/>
          <w:sz w:val="24"/>
          <w:szCs w:val="24"/>
        </w:rPr>
        <w:t xml:space="preserve"> </w:t>
      </w:r>
      <w:r w:rsidRPr="004E7326">
        <w:rPr>
          <w:rFonts w:asciiTheme="minorHAnsi" w:eastAsia="Calibri" w:hAnsiTheme="minorHAnsi" w:cstheme="minorHAnsi"/>
          <w:sz w:val="24"/>
          <w:szCs w:val="24"/>
        </w:rPr>
        <w:t>à</w:t>
      </w:r>
      <w:r w:rsidRPr="004E7326">
        <w:rPr>
          <w:rFonts w:asciiTheme="minorHAnsi" w:eastAsia="Calibri" w:hAnsiTheme="minorHAnsi" w:cstheme="minorHAnsi"/>
          <w:b/>
          <w:sz w:val="24"/>
          <w:szCs w:val="24"/>
        </w:rPr>
        <w:t xml:space="preserve"> </w:t>
      </w:r>
      <w:hyperlink r:id="rId10">
        <w:r w:rsidRPr="004E7326">
          <w:rPr>
            <w:rFonts w:asciiTheme="minorHAnsi" w:eastAsia="Calibri" w:hAnsiTheme="minorHAnsi" w:cstheme="minorHAnsi"/>
            <w:color w:val="000000"/>
            <w:sz w:val="24"/>
            <w:szCs w:val="24"/>
            <w:u w:val="single"/>
          </w:rPr>
          <w:t>ginprocurement@unfpa.org</w:t>
        </w:r>
      </w:hyperlink>
      <w:r w:rsidRPr="004E7326">
        <w:rPr>
          <w:rFonts w:asciiTheme="minorHAnsi" w:eastAsia="Calibri" w:hAnsiTheme="minorHAnsi" w:cstheme="minorHAnsi"/>
          <w:sz w:val="24"/>
          <w:szCs w:val="24"/>
        </w:rPr>
        <w:t xml:space="preserve"> </w:t>
      </w:r>
      <w:r w:rsidR="002D631D">
        <w:rPr>
          <w:rFonts w:asciiTheme="minorHAnsi" w:eastAsia="Calibri" w:hAnsiTheme="minorHAnsi" w:cstheme="minorHAnsi"/>
          <w:b/>
          <w:sz w:val="24"/>
          <w:szCs w:val="24"/>
        </w:rPr>
        <w:t>au plus tard le Lundi 07</w:t>
      </w:r>
      <w:r w:rsidRPr="004E7326">
        <w:rPr>
          <w:rFonts w:asciiTheme="minorHAnsi" w:eastAsia="Calibri" w:hAnsiTheme="minorHAnsi" w:cstheme="minorHAnsi"/>
          <w:b/>
          <w:sz w:val="24"/>
          <w:szCs w:val="24"/>
        </w:rPr>
        <w:t xml:space="preserve"> </w:t>
      </w:r>
      <w:r w:rsidR="002D631D">
        <w:rPr>
          <w:rFonts w:asciiTheme="minorHAnsi" w:eastAsia="Calibri" w:hAnsiTheme="minorHAnsi" w:cstheme="minorHAnsi"/>
          <w:b/>
          <w:sz w:val="24"/>
          <w:szCs w:val="24"/>
        </w:rPr>
        <w:t>Novembre 2022</w:t>
      </w:r>
      <w:r w:rsidRPr="004E7326">
        <w:rPr>
          <w:rFonts w:asciiTheme="minorHAnsi" w:eastAsia="Calibri" w:hAnsiTheme="minorHAnsi" w:cstheme="minorHAnsi"/>
          <w:b/>
          <w:sz w:val="24"/>
          <w:szCs w:val="24"/>
        </w:rPr>
        <w:t xml:space="preserve"> à 16 h 00.</w:t>
      </w:r>
    </w:p>
    <w:p w:rsidR="00CA7E9D" w:rsidRPr="004E7326" w:rsidRDefault="00CA7E9D">
      <w:pPr>
        <w:jc w:val="both"/>
        <w:rPr>
          <w:rFonts w:asciiTheme="minorHAnsi" w:eastAsia="Calibri" w:hAnsiTheme="minorHAnsi" w:cstheme="minorHAnsi"/>
          <w:b/>
          <w:sz w:val="24"/>
          <w:szCs w:val="24"/>
        </w:rPr>
      </w:pPr>
    </w:p>
    <w:tbl>
      <w:tblPr>
        <w:tblStyle w:val="a8"/>
        <w:tblW w:w="9351"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ayout w:type="fixed"/>
        <w:tblLook w:val="0400" w:firstRow="0" w:lastRow="0" w:firstColumn="0" w:lastColumn="0" w:noHBand="0" w:noVBand="1"/>
      </w:tblPr>
      <w:tblGrid>
        <w:gridCol w:w="3055"/>
        <w:gridCol w:w="6296"/>
      </w:tblGrid>
      <w:tr w:rsidR="00CA7E9D" w:rsidRPr="004E7326" w:rsidTr="002D631D">
        <w:trPr>
          <w:jc w:val="center"/>
        </w:trPr>
        <w:tc>
          <w:tcPr>
            <w:tcW w:w="3055"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i/>
                <w:color w:val="000000"/>
                <w:sz w:val="24"/>
                <w:szCs w:val="24"/>
              </w:rPr>
            </w:pPr>
            <w:r w:rsidRPr="004E7326">
              <w:rPr>
                <w:rFonts w:asciiTheme="minorHAnsi" w:eastAsia="Calibri" w:hAnsiTheme="minorHAnsi" w:cstheme="minorHAnsi"/>
                <w:b/>
                <w:color w:val="000000"/>
                <w:sz w:val="24"/>
                <w:szCs w:val="24"/>
              </w:rPr>
              <w:t>Dépôt des Offres : Uniquement par mail</w:t>
            </w:r>
            <w:r w:rsidRPr="004E7326">
              <w:rPr>
                <w:rFonts w:asciiTheme="minorHAnsi" w:eastAsia="Calibri" w:hAnsiTheme="minorHAnsi" w:cstheme="minorHAnsi"/>
                <w:b/>
                <w:i/>
                <w:color w:val="000000"/>
                <w:sz w:val="24"/>
                <w:szCs w:val="24"/>
              </w:rPr>
              <w:t xml:space="preserve"> à </w:t>
            </w:r>
          </w:p>
          <w:p w:rsidR="00CA7E9D" w:rsidRPr="004E7326" w:rsidRDefault="0033515F">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i/>
                <w:color w:val="000000"/>
                <w:sz w:val="24"/>
                <w:szCs w:val="24"/>
              </w:rPr>
            </w:pPr>
            <w:hyperlink r:id="rId11">
              <w:r w:rsidR="003C09BE" w:rsidRPr="004E7326">
                <w:rPr>
                  <w:rFonts w:asciiTheme="minorHAnsi" w:eastAsia="Calibri" w:hAnsiTheme="minorHAnsi" w:cstheme="minorHAnsi"/>
                  <w:b/>
                  <w:i/>
                  <w:color w:val="000000"/>
                  <w:sz w:val="24"/>
                  <w:szCs w:val="24"/>
                  <w:u w:val="single"/>
                </w:rPr>
                <w:t>ginprocurement@unfpa.org</w:t>
              </w:r>
            </w:hyperlink>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4"/>
                <w:szCs w:val="24"/>
              </w:rPr>
            </w:pPr>
          </w:p>
        </w:tc>
        <w:tc>
          <w:tcPr>
            <w:tcW w:w="6296"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i/>
                <w:color w:val="000000"/>
                <w:sz w:val="24"/>
                <w:szCs w:val="24"/>
              </w:rPr>
            </w:pPr>
          </w:p>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i/>
                <w:color w:val="000000"/>
                <w:sz w:val="24"/>
                <w:szCs w:val="24"/>
              </w:rPr>
            </w:pPr>
            <w:r w:rsidRPr="004E7326">
              <w:rPr>
                <w:rFonts w:asciiTheme="minorHAnsi" w:eastAsia="Calibri" w:hAnsiTheme="minorHAnsi" w:cstheme="minorHAnsi"/>
                <w:b/>
                <w:i/>
                <w:color w:val="000000"/>
                <w:sz w:val="24"/>
                <w:szCs w:val="24"/>
              </w:rPr>
              <w:t xml:space="preserve">Objet de l’E-mail : </w:t>
            </w:r>
          </w:p>
          <w:p w:rsidR="00CA7E9D" w:rsidRPr="004E7326" w:rsidRDefault="002D631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i/>
                <w:color w:val="000000"/>
                <w:sz w:val="24"/>
                <w:szCs w:val="24"/>
              </w:rPr>
            </w:pPr>
            <w:r>
              <w:rPr>
                <w:rFonts w:asciiTheme="minorHAnsi" w:eastAsia="Calibri" w:hAnsiTheme="minorHAnsi" w:cstheme="minorHAnsi"/>
                <w:b/>
                <w:i/>
                <w:color w:val="000000"/>
                <w:sz w:val="24"/>
                <w:szCs w:val="24"/>
              </w:rPr>
              <w:t>Référence : « UNFPA/GIN/RFQ/22/019</w:t>
            </w:r>
            <w:r w:rsidR="003C09BE" w:rsidRPr="004E7326">
              <w:rPr>
                <w:rFonts w:asciiTheme="minorHAnsi" w:eastAsia="Calibri" w:hAnsiTheme="minorHAnsi" w:cstheme="minorHAnsi"/>
                <w:b/>
                <w:i/>
                <w:color w:val="000000"/>
                <w:sz w:val="24"/>
                <w:szCs w:val="24"/>
              </w:rPr>
              <w:t>»</w:t>
            </w:r>
          </w:p>
        </w:tc>
      </w:tr>
    </w:tbl>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Veuillez lire les directives suivantes pour les soumissions électroniques :</w:t>
      </w:r>
    </w:p>
    <w:p w:rsidR="00CA7E9D" w:rsidRPr="004E7326" w:rsidRDefault="003C09BE">
      <w:pPr>
        <w:numPr>
          <w:ilvl w:val="0"/>
          <w:numId w:val="11"/>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color w:val="000000"/>
          <w:sz w:val="24"/>
          <w:szCs w:val="24"/>
        </w:rPr>
        <w:t xml:space="preserve">La référence suivante doit être incluse dans le champ de l’objet de l’e-mail — </w:t>
      </w:r>
    </w:p>
    <w:p w:rsidR="00CA7E9D" w:rsidRPr="004E7326" w:rsidRDefault="002D631D">
      <w:pPr>
        <w:pBdr>
          <w:top w:val="nil"/>
          <w:left w:val="nil"/>
          <w:bottom w:val="nil"/>
          <w:right w:val="nil"/>
          <w:between w:val="nil"/>
        </w:pBdr>
        <w:ind w:left="360"/>
        <w:jc w:val="both"/>
        <w:rPr>
          <w:rFonts w:asciiTheme="minorHAnsi" w:eastAsia="Calibri" w:hAnsiTheme="minorHAnsi" w:cstheme="minorHAnsi"/>
          <w:b/>
          <w:color w:val="000000"/>
          <w:sz w:val="24"/>
          <w:szCs w:val="24"/>
          <w:lang w:val="en-US"/>
        </w:rPr>
      </w:pPr>
      <w:r>
        <w:rPr>
          <w:rFonts w:asciiTheme="minorHAnsi" w:eastAsia="Calibri" w:hAnsiTheme="minorHAnsi" w:cstheme="minorHAnsi"/>
          <w:b/>
          <w:color w:val="000000"/>
          <w:sz w:val="24"/>
          <w:szCs w:val="24"/>
          <w:lang w:val="en-US"/>
        </w:rPr>
        <w:t>RFQ Nº UNFPA/GIN/RFQ/22/019</w:t>
      </w:r>
    </w:p>
    <w:p w:rsidR="00CA7E9D" w:rsidRPr="004E7326" w:rsidRDefault="003C09BE">
      <w:pPr>
        <w:numPr>
          <w:ilvl w:val="0"/>
          <w:numId w:val="11"/>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lang w:val="en-US"/>
        </w:rPr>
        <w:t xml:space="preserve"> </w:t>
      </w:r>
      <w:r w:rsidRPr="004E7326">
        <w:rPr>
          <w:rFonts w:asciiTheme="minorHAnsi" w:eastAsia="Calibri" w:hAnsiTheme="minorHAnsi" w:cstheme="minorHAnsi"/>
          <w:color w:val="000000"/>
          <w:sz w:val="24"/>
          <w:szCs w:val="24"/>
        </w:rPr>
        <w:t xml:space="preserve">Les e-mails ne contenant pas l’objet correct pourront ne pas être pris en compte par le fonctionnaire en charge de l’approvisionnement et donc ignorés. </w:t>
      </w:r>
    </w:p>
    <w:p w:rsidR="00CA7E9D" w:rsidRPr="004E7326" w:rsidRDefault="003C09BE">
      <w:pPr>
        <w:numPr>
          <w:ilvl w:val="0"/>
          <w:numId w:val="11"/>
        </w:num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 xml:space="preserve">La taille totale de l’e-mail ne doit pas excéder </w:t>
      </w:r>
      <w:r w:rsidRPr="004E7326">
        <w:rPr>
          <w:rFonts w:asciiTheme="minorHAnsi" w:eastAsia="Calibri" w:hAnsiTheme="minorHAnsi" w:cstheme="minorHAnsi"/>
          <w:b/>
          <w:color w:val="000000"/>
          <w:sz w:val="24"/>
          <w:szCs w:val="24"/>
        </w:rPr>
        <w:t>20MB (y compris le corps de l’e-mail, les pièces jointes et les en-têtes)</w:t>
      </w:r>
      <w:r w:rsidRPr="004E7326">
        <w:rPr>
          <w:rFonts w:asciiTheme="minorHAnsi" w:eastAsia="Calibri" w:hAnsiTheme="minorHAnsi" w:cstheme="minorHAnsi"/>
          <w:color w:val="000000"/>
          <w:sz w:val="24"/>
          <w:szCs w:val="24"/>
        </w:rPr>
        <w:t xml:space="preserve">. Si les détails techniques sont inclus dans des fichiers électroniques de grande taille, il est recommandé de les envoyer séparément avant la date de clôture. </w:t>
      </w:r>
    </w:p>
    <w:p w:rsidR="00CA7E9D" w:rsidRPr="004E7326" w:rsidRDefault="003C09BE">
      <w:pPr>
        <w:numPr>
          <w:ilvl w:val="0"/>
          <w:numId w:val="11"/>
        </w:num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Toute proposition soumise sera considérée comme une offre du soumissionnaire et ne saurait constituer ni impliquer une acceptation de l'UNFPA. L'UNFPA n'est nullement tenu d'attribuer un contrat à un soumissionnaire à la suite de la présente demande de prix.</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pPr>
        <w:numPr>
          <w:ilvl w:val="0"/>
          <w:numId w:val="11"/>
        </w:num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lastRenderedPageBreak/>
        <w:t>Toute proposition soumise sera considérée comme une offre du soumissionnaire et ne saurait constituer ni impliquer une acceptation de l'UNFPA. L'UNFPA n'est nullement tenu d'attribuer un contrat à un soumissionnaire à la suite de la présente demande de prix</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Vue d’ensemble du processus d’évaluation</w:t>
      </w: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Les devis seront évalués en fonction de l’offre technique et du coût total des services (devis financiers).</w:t>
      </w:r>
    </w:p>
    <w:p w:rsidR="00CA7E9D" w:rsidRPr="004E7326" w:rsidRDefault="00CA7E9D">
      <w:pPr>
        <w:jc w:val="both"/>
        <w:rPr>
          <w:rFonts w:asciiTheme="minorHAnsi" w:eastAsia="Calibri" w:hAnsiTheme="minorHAnsi" w:cstheme="minorHAnsi"/>
          <w:sz w:val="24"/>
          <w:szCs w:val="24"/>
        </w:rPr>
      </w:pP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L’évaluation sera réalisée au moyen d’un processus en deux étapes par une commission d’évaluation ad hoc. La conformité des offres techniques sera évaluée avant la comparaison des devis financiers.</w:t>
      </w:r>
    </w:p>
    <w:p w:rsidR="00CA7E9D" w:rsidRPr="004E7326" w:rsidRDefault="00CA7E9D">
      <w:pPr>
        <w:jc w:val="both"/>
        <w:rPr>
          <w:rFonts w:asciiTheme="minorHAnsi" w:eastAsia="Calibri" w:hAnsiTheme="minorHAnsi" w:cstheme="minorHAnsi"/>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 xml:space="preserve">Critères d’attribution </w:t>
      </w:r>
    </w:p>
    <w:p w:rsidR="00CA7E9D" w:rsidRPr="004E7326" w:rsidRDefault="00CA7E9D">
      <w:pPr>
        <w:pBdr>
          <w:top w:val="nil"/>
          <w:left w:val="nil"/>
          <w:bottom w:val="nil"/>
          <w:right w:val="nil"/>
          <w:between w:val="nil"/>
        </w:pBdr>
        <w:ind w:left="360"/>
        <w:jc w:val="both"/>
        <w:rPr>
          <w:rFonts w:asciiTheme="minorHAnsi" w:eastAsia="Calibri" w:hAnsiTheme="minorHAnsi" w:cstheme="minorHAnsi"/>
          <w:b/>
          <w:color w:val="000000"/>
          <w:sz w:val="24"/>
          <w:szCs w:val="24"/>
        </w:rPr>
      </w:pP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L’UNFPA attribuera un contrat à l’offre techniquement conforme la moins-disante.</w:t>
      </w:r>
    </w:p>
    <w:p w:rsidR="00CA7E9D" w:rsidRPr="004E7326" w:rsidRDefault="00CA7E9D">
      <w:pPr>
        <w:jc w:val="both"/>
        <w:rPr>
          <w:rFonts w:asciiTheme="minorHAnsi" w:eastAsia="Calibri" w:hAnsiTheme="minorHAnsi" w:cstheme="minorHAnsi"/>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 xml:space="preserve">Droit de l’UNFPA de modifier les quantités au moment de l’attribution du marché </w:t>
      </w:r>
    </w:p>
    <w:p w:rsidR="00CA7E9D" w:rsidRPr="004E7326" w:rsidRDefault="003C09BE">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L’UNFPA se réserve le droit, au moment d’attribuer le marché, d’augmenter ou de réduire jusqu’à 20 % les volumes de service spécifiés dans cette Demande de Cotation, sans aucune modification du prix à l’unité ou des conditions générales.</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4"/>
          <w:szCs w:val="24"/>
          <w:u w:val="single"/>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Conditions de paiement.</w:t>
      </w:r>
    </w:p>
    <w:p w:rsidR="00CA7E9D" w:rsidRPr="004E7326" w:rsidRDefault="003C09BE">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Les conditions de paiement de l’UNFPA sont de 30 jours nets à compter de la date de réception de la facture et de la livraison/acceptation des prestations correspondant à l’échéance liée au paiement, comme indiqué dans le contrat.</w:t>
      </w:r>
    </w:p>
    <w:p w:rsidR="00CA7E9D" w:rsidRPr="004E7326" w:rsidRDefault="00CA7E9D">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4"/>
          <w:szCs w:val="24"/>
        </w:rPr>
      </w:pPr>
    </w:p>
    <w:p w:rsidR="00CA7E9D" w:rsidRPr="004E7326" w:rsidRDefault="0033515F" w:rsidP="002D631D">
      <w:pPr>
        <w:numPr>
          <w:ilvl w:val="0"/>
          <w:numId w:val="47"/>
        </w:numPr>
        <w:pBdr>
          <w:top w:val="nil"/>
          <w:left w:val="nil"/>
          <w:bottom w:val="nil"/>
          <w:right w:val="nil"/>
          <w:between w:val="nil"/>
        </w:pBdr>
        <w:jc w:val="both"/>
        <w:rPr>
          <w:rFonts w:asciiTheme="minorHAnsi" w:eastAsia="Calibri" w:hAnsiTheme="minorHAnsi" w:cstheme="minorHAnsi"/>
          <w:color w:val="000000"/>
          <w:sz w:val="24"/>
          <w:szCs w:val="24"/>
        </w:rPr>
      </w:pPr>
      <w:hyperlink r:id="rId12" w:anchor="FraudCorruption">
        <w:r w:rsidR="003C09BE" w:rsidRPr="004E7326">
          <w:rPr>
            <w:rFonts w:asciiTheme="minorHAnsi" w:eastAsia="Calibri" w:hAnsiTheme="minorHAnsi" w:cstheme="minorHAnsi"/>
            <w:b/>
            <w:color w:val="000000"/>
            <w:sz w:val="24"/>
            <w:szCs w:val="24"/>
            <w:u w:val="single"/>
          </w:rPr>
          <w:t>Fraude et corruption</w:t>
        </w:r>
      </w:hyperlink>
    </w:p>
    <w:p w:rsidR="00CA7E9D" w:rsidRPr="004E7326" w:rsidRDefault="003C09BE">
      <w:pPr>
        <w:pBdr>
          <w:top w:val="nil"/>
          <w:left w:val="nil"/>
          <w:bottom w:val="nil"/>
          <w:right w:val="nil"/>
          <w:between w:val="nil"/>
        </w:pBdr>
        <w:spacing w:line="276" w:lineRule="auto"/>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3" w:anchor="overlay-context=node/10356/draft">
        <w:r w:rsidRPr="004E7326">
          <w:rPr>
            <w:rFonts w:asciiTheme="minorHAnsi" w:eastAsia="Calibri" w:hAnsiTheme="minorHAnsi" w:cstheme="minorHAnsi"/>
            <w:color w:val="000000"/>
            <w:sz w:val="24"/>
            <w:szCs w:val="24"/>
            <w:u w:val="single"/>
          </w:rPr>
          <w:t>Politique contre la fraude</w:t>
        </w:r>
      </w:hyperlink>
      <w:r w:rsidRPr="004E7326">
        <w:rPr>
          <w:rFonts w:asciiTheme="minorHAnsi" w:eastAsia="Calibri" w:hAnsiTheme="minorHAnsi" w:cstheme="minorHAnsi"/>
          <w:color w:val="000000"/>
          <w:sz w:val="24"/>
          <w:szCs w:val="24"/>
        </w:rPr>
        <w:t xml:space="preserve">. La soumission de toute offre impliquera que le Soumissionnaire a pris connaissance de ladite politique. </w:t>
      </w:r>
    </w:p>
    <w:p w:rsidR="00CA7E9D" w:rsidRPr="004E7326" w:rsidRDefault="00CA7E9D">
      <w:pPr>
        <w:spacing w:line="276" w:lineRule="auto"/>
        <w:jc w:val="both"/>
        <w:rPr>
          <w:rFonts w:asciiTheme="minorHAnsi" w:eastAsia="Calibri" w:hAnsiTheme="minorHAnsi" w:cstheme="minorHAnsi"/>
          <w:sz w:val="24"/>
          <w:szCs w:val="24"/>
        </w:rPr>
      </w:pP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Les fournisseurs, ainsi que leurs filiales,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Toute on-coopération aux investigations menées constitue une raison suffisante pour que l’UNFPA résilie l`accord  et pour retirer le fournisseur de la liste des fournisseurs agréés auprès de l’UNFPA.</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pPr>
        <w:spacing w:line="276" w:lineRule="auto"/>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 xml:space="preserve">Les soumissionnaires peuvent accéder à une ligne anti-fraude confidentielle pour dénoncer les activités frauduleuses à l’adresse suivante : </w:t>
      </w:r>
      <w:hyperlink r:id="rId14">
        <w:r w:rsidRPr="004E7326">
          <w:rPr>
            <w:rFonts w:asciiTheme="minorHAnsi" w:eastAsia="Calibri" w:hAnsiTheme="minorHAnsi" w:cstheme="minorHAnsi"/>
            <w:color w:val="000000"/>
            <w:sz w:val="24"/>
            <w:szCs w:val="24"/>
            <w:u w:val="single"/>
          </w:rPr>
          <w:t>Ligne anti-fraude de l’UNFPA</w:t>
        </w:r>
      </w:hyperlink>
      <w:r w:rsidRPr="004E7326">
        <w:rPr>
          <w:rFonts w:asciiTheme="minorHAnsi" w:eastAsia="Calibri" w:hAnsiTheme="minorHAnsi" w:cstheme="minorHAnsi"/>
          <w:sz w:val="24"/>
          <w:szCs w:val="24"/>
        </w:rPr>
        <w:t>.</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color w:val="000000"/>
          <w:sz w:val="24"/>
          <w:szCs w:val="24"/>
        </w:rPr>
      </w:pPr>
      <w:r w:rsidRPr="004E7326">
        <w:rPr>
          <w:rFonts w:asciiTheme="minorHAnsi" w:eastAsia="Calibri" w:hAnsiTheme="minorHAnsi" w:cstheme="minorHAnsi"/>
          <w:b/>
          <w:color w:val="000000"/>
          <w:sz w:val="24"/>
          <w:szCs w:val="24"/>
        </w:rPr>
        <w:lastRenderedPageBreak/>
        <w:t>Politique de tolérance zéro</w:t>
      </w: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5" w:anchor="ZeroTolerance">
        <w:r w:rsidRPr="004E7326">
          <w:rPr>
            <w:rFonts w:asciiTheme="minorHAnsi" w:eastAsia="Calibri" w:hAnsiTheme="minorHAnsi" w:cstheme="minorHAnsi"/>
            <w:color w:val="000000"/>
            <w:sz w:val="24"/>
            <w:szCs w:val="24"/>
            <w:u w:val="single"/>
          </w:rPr>
          <w:t>Politique de tolérance zéro</w:t>
        </w:r>
      </w:hyperlink>
      <w:r w:rsidRPr="004E7326">
        <w:rPr>
          <w:rFonts w:asciiTheme="minorHAnsi" w:eastAsia="Calibri" w:hAnsiTheme="minorHAnsi" w:cstheme="minorHAnsi"/>
          <w:sz w:val="24"/>
          <w:szCs w:val="24"/>
        </w:rPr>
        <w:t>.</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 xml:space="preserve">Contestation du processus de Demande de cotation </w:t>
      </w:r>
    </w:p>
    <w:p w:rsidR="00CA7E9D" w:rsidRPr="004E7326" w:rsidRDefault="00CA7E9D">
      <w:pPr>
        <w:jc w:val="both"/>
        <w:rPr>
          <w:rFonts w:asciiTheme="minorHAnsi" w:eastAsia="Calibri" w:hAnsiTheme="minorHAnsi" w:cstheme="minorHAnsi"/>
          <w:b/>
          <w:sz w:val="24"/>
          <w:szCs w:val="24"/>
        </w:rPr>
      </w:pPr>
    </w:p>
    <w:p w:rsidR="00CA7E9D" w:rsidRPr="004E7326" w:rsidRDefault="003C09BE">
      <w:pPr>
        <w:tabs>
          <w:tab w:val="left" w:pos="851"/>
        </w:tabs>
        <w:spacing w:line="276" w:lineRule="auto"/>
        <w:jc w:val="both"/>
        <w:rPr>
          <w:rFonts w:asciiTheme="minorHAnsi" w:eastAsia="Calibri" w:hAnsiTheme="minorHAnsi" w:cstheme="minorHAnsi"/>
          <w:sz w:val="24"/>
          <w:szCs w:val="24"/>
        </w:rPr>
      </w:pPr>
      <w:bookmarkStart w:id="5" w:name="_heading=h.3znysh7" w:colFirst="0" w:colLast="0"/>
      <w:bookmarkEnd w:id="5"/>
      <w:r w:rsidRPr="004E7326">
        <w:rPr>
          <w:rFonts w:asciiTheme="minorHAnsi" w:eastAsia="Calibri" w:hAnsiTheme="minorHAnsi" w:cstheme="minorHAnsi"/>
          <w:sz w:val="24"/>
          <w:szCs w:val="24"/>
          <w:highlight w:val="cyan"/>
        </w:rPr>
        <w:t xml:space="preserve"> </w:t>
      </w:r>
      <w:r w:rsidRPr="004E7326">
        <w:rPr>
          <w:rFonts w:asciiTheme="minorHAnsi" w:eastAsia="Calibri" w:hAnsiTheme="minorHAnsi" w:cstheme="minorHAnsi"/>
          <w:sz w:val="24"/>
          <w:szCs w:val="24"/>
        </w:rPr>
        <w:t>Les soumissionnaires qui estiment avoir été traités injustement ou inéquitablement dans le cadre de l’appel d’offres, de l’évaluation ou de l’adjudication d’un contrat pourront envoyer une réclamation au chef de l’unité concernée de l’U</w:t>
      </w:r>
      <w:r w:rsidR="002D631D">
        <w:rPr>
          <w:rFonts w:asciiTheme="minorHAnsi" w:eastAsia="Calibri" w:hAnsiTheme="minorHAnsi" w:cstheme="minorHAnsi"/>
          <w:sz w:val="24"/>
          <w:szCs w:val="24"/>
        </w:rPr>
        <w:t>NFPA à l’adresse suivante : perna</w:t>
      </w:r>
      <w:r w:rsidRPr="004E7326">
        <w:rPr>
          <w:rFonts w:asciiTheme="minorHAnsi" w:eastAsia="Calibri" w:hAnsiTheme="minorHAnsi" w:cstheme="minorHAnsi"/>
          <w:sz w:val="24"/>
          <w:szCs w:val="24"/>
        </w:rPr>
        <w:t xml:space="preserve">@unfpa.org. Si le fournisseur n’est pas satisfait de la réponse fournie par le chef de l’unité concernée, il peut contacter le Chef de la Division des services d’approvisionnement (PSB) à l’adresse </w:t>
      </w:r>
      <w:hyperlink r:id="rId16">
        <w:r w:rsidRPr="004E7326">
          <w:rPr>
            <w:rFonts w:asciiTheme="minorHAnsi" w:eastAsia="Calibri" w:hAnsiTheme="minorHAnsi" w:cstheme="minorHAnsi"/>
            <w:color w:val="000000"/>
            <w:sz w:val="24"/>
            <w:szCs w:val="24"/>
            <w:u w:val="single"/>
          </w:rPr>
          <w:t>procurement@unfpa.org</w:t>
        </w:r>
      </w:hyperlink>
      <w:r w:rsidRPr="004E7326">
        <w:rPr>
          <w:rFonts w:asciiTheme="minorHAnsi" w:eastAsia="Calibri" w:hAnsiTheme="minorHAnsi" w:cstheme="minorHAnsi"/>
          <w:sz w:val="24"/>
          <w:szCs w:val="24"/>
        </w:rPr>
        <w:t>.</w:t>
      </w:r>
    </w:p>
    <w:p w:rsidR="00CA7E9D" w:rsidRPr="004E7326" w:rsidRDefault="00CA7E9D">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4"/>
          <w:szCs w:val="24"/>
        </w:rPr>
      </w:pPr>
    </w:p>
    <w:p w:rsidR="00CA7E9D" w:rsidRPr="004E7326" w:rsidRDefault="003C09BE" w:rsidP="002D631D">
      <w:pPr>
        <w:numPr>
          <w:ilvl w:val="0"/>
          <w:numId w:val="47"/>
        </w:numPr>
        <w:pBdr>
          <w:top w:val="nil"/>
          <w:left w:val="nil"/>
          <w:bottom w:val="nil"/>
          <w:right w:val="nil"/>
          <w:between w:val="nil"/>
        </w:pBdr>
        <w:jc w:val="both"/>
        <w:rPr>
          <w:rFonts w:asciiTheme="minorHAnsi" w:eastAsia="Calibri" w:hAnsiTheme="minorHAnsi" w:cstheme="minorHAnsi"/>
          <w:b/>
          <w:color w:val="000000"/>
          <w:sz w:val="24"/>
          <w:szCs w:val="24"/>
        </w:rPr>
      </w:pPr>
      <w:r w:rsidRPr="004E7326">
        <w:rPr>
          <w:rFonts w:asciiTheme="minorHAnsi" w:eastAsia="Calibri" w:hAnsiTheme="minorHAnsi" w:cstheme="minorHAnsi"/>
          <w:b/>
          <w:color w:val="000000"/>
          <w:sz w:val="24"/>
          <w:szCs w:val="24"/>
        </w:rPr>
        <w:t>Avertissement</w:t>
      </w:r>
    </w:p>
    <w:p w:rsidR="00CA7E9D" w:rsidRPr="004E7326" w:rsidRDefault="003C09BE">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Si un des liens contenus dans ce document est indisponible ou inaccessible pour quelque raison que ce soit, les soumissionnaires peuvent contacter le fonctionnaire en charge de l’approvisionnement pour demander ces documents au format PDF.</w:t>
      </w:r>
    </w:p>
    <w:p w:rsidR="00CA7E9D" w:rsidRPr="004E7326" w:rsidRDefault="003C09BE">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4"/>
          <w:szCs w:val="24"/>
        </w:rPr>
      </w:pPr>
      <w:r w:rsidRPr="004E7326">
        <w:rPr>
          <w:rFonts w:asciiTheme="minorHAnsi" w:hAnsiTheme="minorHAnsi" w:cstheme="minorHAnsi"/>
          <w:sz w:val="24"/>
          <w:szCs w:val="24"/>
        </w:rPr>
        <w:br w:type="page"/>
      </w:r>
    </w:p>
    <w:p w:rsidR="00CA7E9D" w:rsidRPr="004E7326" w:rsidRDefault="003C09BE">
      <w:pPr>
        <w:pBdr>
          <w:top w:val="nil"/>
          <w:left w:val="nil"/>
          <w:bottom w:val="nil"/>
          <w:right w:val="nil"/>
          <w:between w:val="nil"/>
        </w:pBdr>
        <w:jc w:val="both"/>
        <w:rPr>
          <w:rFonts w:asciiTheme="minorHAnsi" w:eastAsia="Calibri" w:hAnsiTheme="minorHAnsi" w:cstheme="minorHAnsi"/>
          <w:b/>
          <w:smallCaps/>
          <w:color w:val="000000"/>
          <w:sz w:val="24"/>
          <w:szCs w:val="24"/>
        </w:rPr>
      </w:pPr>
      <w:r w:rsidRPr="004E7326">
        <w:rPr>
          <w:rFonts w:asciiTheme="minorHAnsi" w:eastAsia="Calibri" w:hAnsiTheme="minorHAnsi" w:cstheme="minorHAnsi"/>
          <w:b/>
          <w:color w:val="000000"/>
          <w:sz w:val="24"/>
          <w:szCs w:val="24"/>
        </w:rPr>
        <w:lastRenderedPageBreak/>
        <w:t>Bordereau de prix</w:t>
      </w:r>
    </w:p>
    <w:p w:rsidR="00CA7E9D" w:rsidRPr="004E7326" w:rsidRDefault="00CA7E9D">
      <w:pPr>
        <w:jc w:val="both"/>
        <w:rPr>
          <w:rFonts w:asciiTheme="minorHAnsi" w:eastAsia="Calibri" w:hAnsiTheme="minorHAnsi" w:cstheme="minorHAnsi"/>
          <w:sz w:val="24"/>
          <w:szCs w:val="24"/>
        </w:rPr>
      </w:pPr>
    </w:p>
    <w:tbl>
      <w:tblPr>
        <w:tblStyle w:val="a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7"/>
        <w:gridCol w:w="4815"/>
      </w:tblGrid>
      <w:tr w:rsidR="00CA7E9D" w:rsidRPr="004E732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CA7E9D" w:rsidRPr="004E7326" w:rsidRDefault="003C09BE">
            <w:pPr>
              <w:jc w:val="both"/>
              <w:rPr>
                <w:rFonts w:asciiTheme="minorHAnsi" w:eastAsia="Calibri" w:hAnsiTheme="minorHAnsi" w:cstheme="minorHAnsi"/>
                <w:b/>
                <w:sz w:val="24"/>
                <w:szCs w:val="24"/>
              </w:rPr>
            </w:pPr>
            <w:r w:rsidRPr="004E7326">
              <w:rPr>
                <w:rFonts w:asciiTheme="minorHAnsi" w:eastAsia="Calibri" w:hAnsiTheme="minorHAnsi" w:cstheme="minorHAnsi"/>
                <w:b/>
                <w:sz w:val="24"/>
                <w:szCs w:val="24"/>
              </w:rPr>
              <w:t>Nom du soumissionnaire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CA7E9D" w:rsidRPr="004E7326" w:rsidRDefault="00CA7E9D">
            <w:pPr>
              <w:jc w:val="both"/>
              <w:rPr>
                <w:rFonts w:asciiTheme="minorHAnsi" w:eastAsia="Calibri" w:hAnsiTheme="minorHAnsi" w:cstheme="minorHAnsi"/>
                <w:sz w:val="24"/>
                <w:szCs w:val="24"/>
              </w:rPr>
            </w:pPr>
          </w:p>
        </w:tc>
      </w:tr>
      <w:tr w:rsidR="00CA7E9D" w:rsidRPr="004E732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b/>
                <w:sz w:val="24"/>
                <w:szCs w:val="24"/>
              </w:rPr>
              <w:t>Date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Cliquez ici pour indiquer une date.</w:t>
            </w:r>
          </w:p>
        </w:tc>
      </w:tr>
      <w:tr w:rsidR="00CA7E9D" w:rsidRPr="004E732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b/>
                <w:sz w:val="24"/>
                <w:szCs w:val="24"/>
              </w:rPr>
              <w:t>Numéro de la demande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CA7E9D" w:rsidRPr="004E7326" w:rsidRDefault="004B1FBF">
            <w:pPr>
              <w:jc w:val="both"/>
              <w:rPr>
                <w:rFonts w:asciiTheme="minorHAnsi" w:eastAsia="Calibri" w:hAnsiTheme="minorHAnsi" w:cstheme="minorHAnsi"/>
                <w:sz w:val="24"/>
                <w:szCs w:val="24"/>
              </w:rPr>
            </w:pPr>
            <w:r>
              <w:rPr>
                <w:rFonts w:asciiTheme="minorHAnsi" w:eastAsia="Calibri" w:hAnsiTheme="minorHAnsi" w:cstheme="minorHAnsi"/>
                <w:sz w:val="24"/>
                <w:szCs w:val="24"/>
              </w:rPr>
              <w:t>UNFPA/GIN/RFQ/22/019</w:t>
            </w:r>
          </w:p>
        </w:tc>
      </w:tr>
      <w:tr w:rsidR="00CA7E9D" w:rsidRPr="004E732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b/>
                <w:sz w:val="24"/>
                <w:szCs w:val="24"/>
              </w:rPr>
              <w:t>Devise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GNF</w:t>
            </w:r>
          </w:p>
        </w:tc>
      </w:tr>
      <w:tr w:rsidR="00CA7E9D" w:rsidRPr="004E732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CA7E9D" w:rsidRPr="004E7326" w:rsidRDefault="003C09BE">
            <w:pPr>
              <w:jc w:val="both"/>
              <w:rPr>
                <w:rFonts w:asciiTheme="minorHAnsi" w:eastAsia="Calibri" w:hAnsiTheme="minorHAnsi" w:cstheme="minorHAnsi"/>
                <w:b/>
                <w:sz w:val="24"/>
                <w:szCs w:val="24"/>
              </w:rPr>
            </w:pPr>
            <w:r w:rsidRPr="004E7326">
              <w:rPr>
                <w:rFonts w:asciiTheme="minorHAnsi" w:eastAsia="Calibri" w:hAnsiTheme="minorHAnsi" w:cstheme="minorHAnsi"/>
                <w:b/>
                <w:sz w:val="24"/>
                <w:szCs w:val="24"/>
              </w:rPr>
              <w:t xml:space="preserve">Frais de livraison sur la base de l’Incoterm 2010 suivant :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Sélectionner une règle.</w:t>
            </w:r>
          </w:p>
        </w:tc>
      </w:tr>
      <w:tr w:rsidR="00CA7E9D" w:rsidRPr="004E732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b/>
                <w:sz w:val="24"/>
                <w:szCs w:val="24"/>
              </w:rPr>
              <w:t>Durée de validité de la cotation :</w:t>
            </w:r>
          </w:p>
          <w:p w:rsidR="00CA7E9D" w:rsidRPr="004E7326" w:rsidRDefault="003C09BE">
            <w:pPr>
              <w:jc w:val="both"/>
              <w:rPr>
                <w:rFonts w:asciiTheme="minorHAnsi" w:eastAsia="Calibri" w:hAnsiTheme="minorHAnsi" w:cstheme="minorHAnsi"/>
                <w:b/>
                <w:i/>
                <w:sz w:val="24"/>
                <w:szCs w:val="24"/>
              </w:rPr>
            </w:pPr>
            <w:r w:rsidRPr="004E7326">
              <w:rPr>
                <w:rFonts w:asciiTheme="minorHAnsi" w:eastAsia="Calibri" w:hAnsiTheme="minorHAnsi" w:cstheme="minorHAnsi"/>
                <w:i/>
                <w:sz w:val="24"/>
                <w:szCs w:val="24"/>
              </w:rPr>
              <w:t>(Le devis doit être valide pour une période d’au moins trois mois après la date de clôture de la soumission)</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CA7E9D" w:rsidRPr="004E7326" w:rsidRDefault="00CA7E9D">
            <w:pPr>
              <w:jc w:val="both"/>
              <w:rPr>
                <w:rFonts w:asciiTheme="minorHAnsi" w:eastAsia="Calibri" w:hAnsiTheme="minorHAnsi" w:cstheme="minorHAnsi"/>
                <w:sz w:val="24"/>
                <w:szCs w:val="24"/>
              </w:rPr>
            </w:pPr>
          </w:p>
        </w:tc>
      </w:tr>
    </w:tbl>
    <w:p w:rsidR="00CA7E9D" w:rsidRPr="004E7326" w:rsidRDefault="00CA7E9D">
      <w:pPr>
        <w:pStyle w:val="Title"/>
        <w:jc w:val="both"/>
        <w:rPr>
          <w:rFonts w:asciiTheme="minorHAnsi" w:eastAsia="Calibri" w:hAnsiTheme="minorHAnsi" w:cstheme="minorHAnsi"/>
          <w:b w:val="0"/>
          <w:szCs w:val="24"/>
          <w:u w:val="none"/>
        </w:rPr>
      </w:pPr>
    </w:p>
    <w:p w:rsidR="00CA7E9D" w:rsidRPr="004E7326" w:rsidRDefault="003C09BE">
      <w:pPr>
        <w:numPr>
          <w:ilvl w:val="0"/>
          <w:numId w:val="3"/>
        </w:numPr>
        <w:pBdr>
          <w:top w:val="nil"/>
          <w:left w:val="nil"/>
          <w:bottom w:val="nil"/>
          <w:right w:val="nil"/>
          <w:between w:val="nil"/>
        </w:pBdr>
        <w:tabs>
          <w:tab w:val="left" w:pos="2160"/>
        </w:tabs>
        <w:ind w:left="426" w:hanging="426"/>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 xml:space="preserve">L’UNFPA étant exempt d’impôts, tous les tarifs communiqués </w:t>
      </w:r>
      <w:r w:rsidRPr="004E7326">
        <w:rPr>
          <w:rFonts w:asciiTheme="minorHAnsi" w:eastAsia="Calibri" w:hAnsiTheme="minorHAnsi" w:cstheme="minorHAnsi"/>
          <w:b/>
          <w:color w:val="000000"/>
          <w:sz w:val="24"/>
          <w:szCs w:val="24"/>
        </w:rPr>
        <w:t>ne doivent pas inclure de taxes</w:t>
      </w:r>
      <w:r w:rsidRPr="004E7326">
        <w:rPr>
          <w:rFonts w:asciiTheme="minorHAnsi" w:eastAsia="Calibri" w:hAnsiTheme="minorHAnsi" w:cstheme="minorHAnsi"/>
          <w:color w:val="000000"/>
          <w:sz w:val="24"/>
          <w:szCs w:val="24"/>
        </w:rPr>
        <w:t xml:space="preserve">. </w:t>
      </w:r>
    </w:p>
    <w:p w:rsidR="00CA7E9D" w:rsidRPr="004E7326" w:rsidRDefault="00CA7E9D">
      <w:pPr>
        <w:pStyle w:val="Title"/>
        <w:jc w:val="both"/>
        <w:rPr>
          <w:rFonts w:asciiTheme="minorHAnsi" w:eastAsia="Calibri" w:hAnsiTheme="minorHAnsi" w:cstheme="minorHAnsi"/>
          <w:szCs w:val="24"/>
        </w:rPr>
      </w:pPr>
    </w:p>
    <w:tbl>
      <w:tblPr>
        <w:tblStyle w:val="aa"/>
        <w:tblW w:w="98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850"/>
        <w:gridCol w:w="3733"/>
        <w:gridCol w:w="1512"/>
        <w:gridCol w:w="1218"/>
        <w:gridCol w:w="1338"/>
        <w:gridCol w:w="1202"/>
      </w:tblGrid>
      <w:tr w:rsidR="00CA7E9D" w:rsidRPr="004E7326">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Article</w:t>
            </w:r>
          </w:p>
        </w:tc>
        <w:tc>
          <w:tcPr>
            <w:tcW w:w="373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Description</w:t>
            </w:r>
          </w:p>
        </w:tc>
        <w:tc>
          <w:tcPr>
            <w:tcW w:w="1512"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Nombre et description du personnel par niveau</w:t>
            </w:r>
          </w:p>
        </w:tc>
        <w:tc>
          <w:tcPr>
            <w:tcW w:w="121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Tarif horaire</w:t>
            </w:r>
          </w:p>
        </w:tc>
        <w:tc>
          <w:tcPr>
            <w:tcW w:w="133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 xml:space="preserve">Nombre d’heures nécessaires </w:t>
            </w:r>
          </w:p>
        </w:tc>
        <w:tc>
          <w:tcPr>
            <w:tcW w:w="1202"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Total</w:t>
            </w:r>
          </w:p>
        </w:tc>
      </w:tr>
      <w:tr w:rsidR="00CA7E9D" w:rsidRPr="004E7326">
        <w:trPr>
          <w:jc w:val="center"/>
        </w:trPr>
        <w:tc>
          <w:tcPr>
            <w:tcW w:w="9853"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rsidR="00CA7E9D" w:rsidRPr="004E7326" w:rsidRDefault="003C09BE">
            <w:pPr>
              <w:numPr>
                <w:ilvl w:val="0"/>
                <w:numId w:val="1"/>
              </w:numPr>
              <w:pBdr>
                <w:top w:val="nil"/>
                <w:left w:val="nil"/>
                <w:bottom w:val="nil"/>
                <w:right w:val="nil"/>
                <w:between w:val="nil"/>
              </w:pBdr>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Frais professionnels</w:t>
            </w:r>
          </w:p>
        </w:tc>
      </w:tr>
      <w:tr w:rsidR="00CA7E9D" w:rsidRPr="004E7326">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r>
      <w:tr w:rsidR="00CA7E9D" w:rsidRPr="004E7326">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r>
      <w:tr w:rsidR="00CA7E9D" w:rsidRPr="004E7326">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r>
      <w:tr w:rsidR="00CA7E9D" w:rsidRPr="004E7326">
        <w:trPr>
          <w:jc w:val="center"/>
        </w:trPr>
        <w:tc>
          <w:tcPr>
            <w:tcW w:w="86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3C09BE">
            <w:pPr>
              <w:jc w:val="both"/>
              <w:rPr>
                <w:rFonts w:asciiTheme="minorHAnsi" w:eastAsia="Calibri" w:hAnsiTheme="minorHAnsi" w:cstheme="minorHAnsi"/>
                <w:i/>
                <w:sz w:val="24"/>
                <w:szCs w:val="24"/>
              </w:rPr>
            </w:pPr>
            <w:r w:rsidRPr="004E7326">
              <w:rPr>
                <w:rFonts w:asciiTheme="minorHAnsi" w:eastAsia="Calibri" w:hAnsiTheme="minorHAnsi" w:cstheme="minorHAnsi"/>
                <w:i/>
                <w:sz w:val="24"/>
                <w:szCs w:val="24"/>
              </w:rPr>
              <w:t>Total des frais professionnels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GNF</w:t>
            </w:r>
          </w:p>
        </w:tc>
      </w:tr>
      <w:tr w:rsidR="00CA7E9D" w:rsidRPr="004E7326">
        <w:trPr>
          <w:jc w:val="center"/>
        </w:trPr>
        <w:tc>
          <w:tcPr>
            <w:tcW w:w="9853"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rsidR="00CA7E9D" w:rsidRPr="004E7326" w:rsidRDefault="003C09BE">
            <w:pPr>
              <w:numPr>
                <w:ilvl w:val="0"/>
                <w:numId w:val="1"/>
              </w:numPr>
              <w:pBdr>
                <w:top w:val="nil"/>
                <w:left w:val="nil"/>
                <w:bottom w:val="nil"/>
                <w:right w:val="nil"/>
                <w:between w:val="nil"/>
              </w:pBdr>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Débours</w:t>
            </w:r>
          </w:p>
        </w:tc>
      </w:tr>
      <w:tr w:rsidR="00CA7E9D" w:rsidRPr="004E7326">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r>
      <w:tr w:rsidR="00CA7E9D" w:rsidRPr="004E7326">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CA7E9D">
            <w:pPr>
              <w:jc w:val="both"/>
              <w:rPr>
                <w:rFonts w:asciiTheme="minorHAnsi" w:eastAsia="Calibri" w:hAnsiTheme="minorHAnsi" w:cstheme="minorHAnsi"/>
                <w:sz w:val="24"/>
                <w:szCs w:val="24"/>
              </w:rPr>
            </w:pPr>
          </w:p>
        </w:tc>
      </w:tr>
      <w:tr w:rsidR="00CA7E9D" w:rsidRPr="004E7326">
        <w:trPr>
          <w:jc w:val="center"/>
        </w:trPr>
        <w:tc>
          <w:tcPr>
            <w:tcW w:w="86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3C09BE">
            <w:pPr>
              <w:jc w:val="both"/>
              <w:rPr>
                <w:rFonts w:asciiTheme="minorHAnsi" w:eastAsia="Calibri" w:hAnsiTheme="minorHAnsi" w:cstheme="minorHAnsi"/>
                <w:i/>
                <w:sz w:val="24"/>
                <w:szCs w:val="24"/>
              </w:rPr>
            </w:pPr>
            <w:r w:rsidRPr="004E7326">
              <w:rPr>
                <w:rFonts w:asciiTheme="minorHAnsi" w:eastAsia="Calibri" w:hAnsiTheme="minorHAnsi" w:cstheme="minorHAnsi"/>
                <w:i/>
                <w:sz w:val="24"/>
                <w:szCs w:val="24"/>
              </w:rPr>
              <w:t>Total des débours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GNF</w:t>
            </w:r>
          </w:p>
        </w:tc>
      </w:tr>
      <w:tr w:rsidR="00CA7E9D" w:rsidRPr="004E7326">
        <w:trPr>
          <w:jc w:val="center"/>
        </w:trPr>
        <w:tc>
          <w:tcPr>
            <w:tcW w:w="86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E9D" w:rsidRPr="004E7326" w:rsidRDefault="003C09BE">
            <w:pPr>
              <w:jc w:val="both"/>
              <w:rPr>
                <w:rFonts w:asciiTheme="minorHAnsi" w:eastAsia="Calibri" w:hAnsiTheme="minorHAnsi" w:cstheme="minorHAnsi"/>
                <w:b/>
                <w:i/>
                <w:sz w:val="24"/>
                <w:szCs w:val="24"/>
              </w:rPr>
            </w:pPr>
            <w:r w:rsidRPr="004E7326">
              <w:rPr>
                <w:rFonts w:asciiTheme="minorHAnsi" w:eastAsia="Calibri" w:hAnsiTheme="minorHAnsi" w:cstheme="minorHAnsi"/>
                <w:b/>
                <w:i/>
                <w:sz w:val="24"/>
                <w:szCs w:val="24"/>
              </w:rPr>
              <w:t xml:space="preserve">Prix total du contrat </w:t>
            </w:r>
          </w:p>
          <w:p w:rsidR="00CA7E9D" w:rsidRPr="004E7326" w:rsidRDefault="003C09BE">
            <w:pPr>
              <w:jc w:val="both"/>
              <w:rPr>
                <w:rFonts w:asciiTheme="minorHAnsi" w:eastAsia="Calibri" w:hAnsiTheme="minorHAnsi" w:cstheme="minorHAnsi"/>
                <w:i/>
                <w:sz w:val="24"/>
                <w:szCs w:val="24"/>
              </w:rPr>
            </w:pPr>
            <w:r w:rsidRPr="004E7326">
              <w:rPr>
                <w:rFonts w:asciiTheme="minorHAnsi" w:eastAsia="Calibri" w:hAnsiTheme="minorHAnsi" w:cstheme="minorHAnsi"/>
                <w:i/>
                <w:sz w:val="24"/>
                <w:szCs w:val="24"/>
              </w:rPr>
              <w:t>(Frais professionnels + débours)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GNF</w:t>
            </w:r>
          </w:p>
        </w:tc>
      </w:tr>
    </w:tbl>
    <w:p w:rsidR="00CA7E9D" w:rsidRPr="004E7326" w:rsidRDefault="00CA7E9D">
      <w:pPr>
        <w:jc w:val="both"/>
        <w:rPr>
          <w:rFonts w:asciiTheme="minorHAnsi" w:eastAsia="Calibri" w:hAnsiTheme="minorHAnsi" w:cstheme="minorHAnsi"/>
          <w:b/>
          <w:sz w:val="24"/>
          <w:szCs w:val="24"/>
        </w:rPr>
      </w:pPr>
    </w:p>
    <w:p w:rsidR="00CA7E9D" w:rsidRPr="004E7326" w:rsidRDefault="003C09BE">
      <w:pPr>
        <w:tabs>
          <w:tab w:val="left" w:pos="0"/>
          <w:tab w:val="right" w:pos="1980"/>
          <w:tab w:val="left" w:pos="2160"/>
          <w:tab w:val="left" w:pos="4320"/>
        </w:tabs>
        <w:jc w:val="both"/>
        <w:rPr>
          <w:rFonts w:asciiTheme="minorHAnsi" w:eastAsia="Calibri" w:hAnsiTheme="minorHAnsi" w:cstheme="minorHAnsi"/>
          <w:b/>
          <w:sz w:val="24"/>
          <w:szCs w:val="24"/>
        </w:rPr>
      </w:pPr>
      <w:r w:rsidRPr="004E7326">
        <w:rPr>
          <w:rFonts w:asciiTheme="minorHAnsi" w:hAnsiTheme="minorHAnsi" w:cstheme="minorHAnsi"/>
          <w:noProof/>
          <w:sz w:val="24"/>
          <w:szCs w:val="24"/>
          <w:lang w:eastAsia="fr-FR"/>
        </w:rPr>
        <mc:AlternateContent>
          <mc:Choice Requires="wps">
            <w:drawing>
              <wp:anchor distT="0" distB="0" distL="114300" distR="113665" simplePos="0" relativeHeight="251671552" behindDoc="0" locked="0" layoutInCell="1" hidden="0" allowOverlap="1">
                <wp:simplePos x="0" y="0"/>
                <wp:positionH relativeFrom="column">
                  <wp:posOffset>1</wp:posOffset>
                </wp:positionH>
                <wp:positionV relativeFrom="paragraph">
                  <wp:posOffset>38100</wp:posOffset>
                </wp:positionV>
                <wp:extent cx="6189980" cy="695960"/>
                <wp:effectExtent l="0" t="0" r="0" b="0"/>
                <wp:wrapNone/>
                <wp:docPr id="572" name="Rectangle 572"/>
                <wp:cNvGraphicFramePr/>
                <a:graphic xmlns:a="http://schemas.openxmlformats.org/drawingml/2006/main">
                  <a:graphicData uri="http://schemas.microsoft.com/office/word/2010/wordprocessingShape">
                    <wps:wsp>
                      <wps:cNvSpPr/>
                      <wps:spPr>
                        <a:xfrm>
                          <a:off x="2256120" y="3437100"/>
                          <a:ext cx="6179760" cy="685800"/>
                        </a:xfrm>
                        <a:prstGeom prst="rect">
                          <a:avLst/>
                        </a:prstGeom>
                        <a:noFill/>
                        <a:ln w="9525" cap="flat" cmpd="sng">
                          <a:solidFill>
                            <a:srgbClr val="000000"/>
                          </a:solidFill>
                          <a:prstDash val="solid"/>
                          <a:miter lim="8000"/>
                          <a:headEnd type="none" w="sm" len="sm"/>
                          <a:tailEnd type="none" w="sm" len="sm"/>
                        </a:ln>
                      </wps:spPr>
                      <wps:txbx>
                        <w:txbxContent>
                          <w:p w:rsidR="00CA7E9D" w:rsidRDefault="003C09BE">
                            <w:pPr>
                              <w:textDirection w:val="btLr"/>
                            </w:pPr>
                            <w:r>
                              <w:rPr>
                                <w:rFonts w:ascii="Calibri" w:eastAsia="Calibri" w:hAnsi="Calibri" w:cs="Calibri"/>
                                <w:i/>
                                <w:color w:val="000000"/>
                                <w:sz w:val="28"/>
                              </w:rPr>
                              <w:t>Commentaires du vendeur</w:t>
                            </w:r>
                            <w:r>
                              <w:rPr>
                                <w:rFonts w:ascii="Arial" w:eastAsia="Arial" w:hAnsi="Arial" w:cs="Arial"/>
                                <w:i/>
                                <w:color w:val="000000"/>
                                <w:sz w:val="28"/>
                              </w:rPr>
                              <w:t>:</w:t>
                            </w:r>
                          </w:p>
                        </w:txbxContent>
                      </wps:txbx>
                      <wps:bodyPr spcFirstLastPara="1" wrap="square" lIns="91425" tIns="45700" rIns="91425" bIns="45700" anchor="t" anchorCtr="0">
                        <a:noAutofit/>
                      </wps:bodyPr>
                    </wps:wsp>
                  </a:graphicData>
                </a:graphic>
              </wp:anchor>
            </w:drawing>
          </mc:Choice>
          <mc:Fallback>
            <w:pict>
              <v:rect id="Rectangle 572" o:spid="_x0000_s1026" style="position:absolute;left:0;text-align:left;margin-left:0;margin-top:3pt;width:487.4pt;height:54.8pt;z-index:25167155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" filled="f">
                <v:stroke startarrowwidth="narrow" startarrowlength="short" endarrowwidth="narrow" endarrowlength="short" miterlimit="5243f"/>
                <v:textbox inset="2.53958mm,1.2694mm,2.53958mm,1.2694mm">
                  <w:txbxContent>
                    <w:p w:rsidR="00CA7E9D" w:rsidRDefault="003C09BE">
                      <w:pPr>
                        <w:textDirection w:val="btLr"/>
                      </w:pPr>
                      <w:r>
                        <w:rPr>
                          <w:rFonts w:ascii="Calibri" w:eastAsia="Calibri" w:hAnsi="Calibri" w:cs="Calibri"/>
                          <w:i/>
                          <w:color w:val="000000"/>
                          <w:sz w:val="28"/>
                        </w:rPr>
                        <w:t>Commentaires du vendeur</w:t>
                      </w:r>
                      <w:r>
                        <w:rPr>
                          <w:rFonts w:ascii="Arial" w:eastAsia="Arial" w:hAnsi="Arial" w:cs="Arial"/>
                          <w:i/>
                          <w:color w:val="000000"/>
                          <w:sz w:val="28"/>
                        </w:rPr>
                        <w:t>:</w:t>
                      </w:r>
                    </w:p>
                  </w:txbxContent>
                </v:textbox>
              </v:rect>
            </w:pict>
          </mc:Fallback>
        </mc:AlternateContent>
      </w:r>
    </w:p>
    <w:p w:rsidR="00CA7E9D" w:rsidRPr="004E7326" w:rsidRDefault="00CA7E9D">
      <w:pPr>
        <w:tabs>
          <w:tab w:val="left" w:pos="0"/>
          <w:tab w:val="right" w:pos="1980"/>
          <w:tab w:val="left" w:pos="2160"/>
          <w:tab w:val="left" w:pos="4320"/>
        </w:tabs>
        <w:jc w:val="both"/>
        <w:rPr>
          <w:rFonts w:asciiTheme="minorHAnsi" w:eastAsia="Calibri" w:hAnsiTheme="minorHAnsi" w:cstheme="minorHAnsi"/>
          <w:b/>
          <w:sz w:val="24"/>
          <w:szCs w:val="24"/>
        </w:rPr>
      </w:pPr>
    </w:p>
    <w:p w:rsidR="00CA7E9D" w:rsidRPr="004E7326" w:rsidRDefault="00CA7E9D">
      <w:pPr>
        <w:tabs>
          <w:tab w:val="left" w:pos="0"/>
          <w:tab w:val="right" w:pos="1980"/>
          <w:tab w:val="left" w:pos="2160"/>
          <w:tab w:val="left" w:pos="4320"/>
        </w:tabs>
        <w:jc w:val="both"/>
        <w:rPr>
          <w:rFonts w:asciiTheme="minorHAnsi" w:eastAsia="Calibri" w:hAnsiTheme="minorHAnsi" w:cstheme="minorHAnsi"/>
          <w:b/>
          <w:sz w:val="24"/>
          <w:szCs w:val="24"/>
        </w:rPr>
      </w:pPr>
    </w:p>
    <w:p w:rsidR="00CA7E9D" w:rsidRPr="004E7326" w:rsidRDefault="00CA7E9D">
      <w:pPr>
        <w:tabs>
          <w:tab w:val="left" w:pos="0"/>
          <w:tab w:val="right" w:pos="1980"/>
          <w:tab w:val="left" w:pos="2160"/>
          <w:tab w:val="left" w:pos="4320"/>
        </w:tabs>
        <w:jc w:val="both"/>
        <w:rPr>
          <w:rFonts w:asciiTheme="minorHAnsi" w:eastAsia="Calibri" w:hAnsiTheme="minorHAnsi" w:cstheme="minorHAnsi"/>
          <w:b/>
          <w:sz w:val="24"/>
          <w:szCs w:val="24"/>
        </w:rPr>
      </w:pPr>
    </w:p>
    <w:p w:rsidR="00CA7E9D" w:rsidRPr="004E7326" w:rsidRDefault="00CA7E9D">
      <w:pPr>
        <w:tabs>
          <w:tab w:val="left" w:pos="0"/>
          <w:tab w:val="right" w:pos="1980"/>
          <w:tab w:val="left" w:pos="2160"/>
          <w:tab w:val="left" w:pos="4320"/>
        </w:tabs>
        <w:jc w:val="both"/>
        <w:rPr>
          <w:rFonts w:asciiTheme="minorHAnsi" w:eastAsia="Calibri" w:hAnsiTheme="minorHAnsi" w:cstheme="minorHAnsi"/>
          <w:b/>
          <w:sz w:val="24"/>
          <w:szCs w:val="24"/>
        </w:rPr>
      </w:pPr>
    </w:p>
    <w:p w:rsidR="00CA7E9D" w:rsidRPr="004E7326" w:rsidRDefault="003C09BE">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4"/>
          <w:szCs w:val="24"/>
        </w:rPr>
      </w:pPr>
      <w:r w:rsidRPr="004E7326">
        <w:rPr>
          <w:rFonts w:asciiTheme="minorHAnsi" w:eastAsia="Calibri" w:hAnsiTheme="minorHAnsi" w:cstheme="minorHAnsi"/>
          <w:color w:val="000000"/>
          <w:sz w:val="24"/>
          <w:szCs w:val="24"/>
        </w:rPr>
        <w:t xml:space="preserve">Je certifie par la présente que la société mentionnée ci-dessus, au nom de laquelle je suis dûment autorisé à signer, a examiné la Demande de Cotation </w:t>
      </w:r>
      <w:r w:rsidR="004B1FBF">
        <w:rPr>
          <w:rFonts w:asciiTheme="minorHAnsi" w:eastAsia="Calibri" w:hAnsiTheme="minorHAnsi" w:cstheme="minorHAnsi"/>
          <w:b/>
          <w:color w:val="000000"/>
          <w:sz w:val="24"/>
          <w:szCs w:val="24"/>
        </w:rPr>
        <w:t>UNFPA/GIN/RFQ/22/019</w:t>
      </w:r>
      <w:r w:rsidRPr="004E7326">
        <w:rPr>
          <w:rFonts w:asciiTheme="minorHAnsi" w:eastAsia="Calibri" w:hAnsiTheme="minorHAnsi" w:cstheme="minorHAnsi"/>
          <w:color w:val="000000"/>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Style w:val="ab"/>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CA7E9D" w:rsidRPr="004E7326">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CA7E9D" w:rsidRPr="004E7326" w:rsidRDefault="00CA7E9D">
            <w:pPr>
              <w:tabs>
                <w:tab w:val="left" w:pos="0"/>
                <w:tab w:val="right" w:pos="1980"/>
                <w:tab w:val="left" w:pos="2160"/>
                <w:tab w:val="left" w:pos="4320"/>
              </w:tabs>
              <w:jc w:val="both"/>
              <w:rPr>
                <w:rFonts w:asciiTheme="minorHAnsi" w:eastAsia="Calibri" w:hAnsiTheme="minorHAnsi" w:cstheme="minorHAnsi"/>
                <w:sz w:val="24"/>
                <w:szCs w:val="24"/>
              </w:rPr>
            </w:pPr>
          </w:p>
          <w:p w:rsidR="00CA7E9D" w:rsidRPr="004E7326" w:rsidRDefault="00CA7E9D">
            <w:pPr>
              <w:tabs>
                <w:tab w:val="left" w:pos="0"/>
                <w:tab w:val="right" w:pos="1980"/>
                <w:tab w:val="left" w:pos="2160"/>
                <w:tab w:val="left" w:pos="4320"/>
              </w:tabs>
              <w:jc w:val="both"/>
              <w:rPr>
                <w:rFonts w:asciiTheme="minorHAnsi" w:eastAsia="Calibri" w:hAnsiTheme="minorHAnsi" w:cstheme="minorHAnsi"/>
                <w:sz w:val="24"/>
                <w:szCs w:val="24"/>
              </w:rPr>
            </w:pPr>
          </w:p>
          <w:p w:rsidR="00CA7E9D" w:rsidRPr="004E7326" w:rsidRDefault="00CA7E9D">
            <w:pPr>
              <w:tabs>
                <w:tab w:val="left" w:pos="0"/>
                <w:tab w:val="right" w:pos="1980"/>
                <w:tab w:val="left" w:pos="2160"/>
                <w:tab w:val="left" w:pos="4320"/>
              </w:tabs>
              <w:jc w:val="both"/>
              <w:rPr>
                <w:rFonts w:asciiTheme="minorHAnsi" w:eastAsia="Calibri" w:hAnsiTheme="minorHAnsi" w:cstheme="minorHAnsi"/>
                <w:sz w:val="24"/>
                <w:szCs w:val="24"/>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CA7E9D" w:rsidRPr="004E7326" w:rsidRDefault="003C09BE">
            <w:pPr>
              <w:tabs>
                <w:tab w:val="left" w:pos="0"/>
                <w:tab w:val="right" w:pos="1980"/>
                <w:tab w:val="left" w:pos="2160"/>
                <w:tab w:val="left" w:pos="432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Cliquez ici pour indiquer une date.</w:t>
            </w: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CA7E9D" w:rsidRPr="004E7326" w:rsidRDefault="00CA7E9D">
            <w:pPr>
              <w:tabs>
                <w:tab w:val="left" w:pos="0"/>
                <w:tab w:val="right" w:pos="1980"/>
                <w:tab w:val="left" w:pos="2160"/>
                <w:tab w:val="left" w:pos="4320"/>
              </w:tabs>
              <w:jc w:val="both"/>
              <w:rPr>
                <w:rFonts w:asciiTheme="minorHAnsi" w:eastAsia="Calibri" w:hAnsiTheme="minorHAnsi" w:cstheme="minorHAnsi"/>
                <w:sz w:val="24"/>
                <w:szCs w:val="24"/>
              </w:rPr>
            </w:pPr>
          </w:p>
        </w:tc>
      </w:tr>
      <w:tr w:rsidR="00CA7E9D" w:rsidRPr="004E7326">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CA7E9D" w:rsidRPr="004E7326" w:rsidRDefault="003C09BE">
            <w:pPr>
              <w:tabs>
                <w:tab w:val="left" w:pos="0"/>
                <w:tab w:val="right" w:pos="1980"/>
                <w:tab w:val="left" w:pos="2160"/>
                <w:tab w:val="left" w:pos="432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CA7E9D" w:rsidRPr="004E7326" w:rsidRDefault="003C09BE">
            <w:pPr>
              <w:tabs>
                <w:tab w:val="left" w:pos="0"/>
                <w:tab w:val="right" w:pos="1980"/>
                <w:tab w:val="left" w:pos="2160"/>
                <w:tab w:val="left" w:pos="432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Date et lieu</w:t>
            </w:r>
          </w:p>
        </w:tc>
      </w:tr>
    </w:tbl>
    <w:p w:rsidR="00CA7E9D" w:rsidRPr="004E7326" w:rsidRDefault="00CA7E9D">
      <w:pPr>
        <w:jc w:val="both"/>
        <w:rPr>
          <w:rFonts w:asciiTheme="minorHAnsi" w:eastAsia="Calibri" w:hAnsiTheme="minorHAnsi" w:cstheme="minorHAnsi"/>
          <w:sz w:val="24"/>
          <w:szCs w:val="24"/>
        </w:rPr>
      </w:pPr>
    </w:p>
    <w:p w:rsidR="00CA7E9D" w:rsidRPr="004E7326" w:rsidRDefault="00CA7E9D">
      <w:pPr>
        <w:jc w:val="both"/>
        <w:rPr>
          <w:rFonts w:asciiTheme="minorHAnsi" w:eastAsia="Calibri" w:hAnsiTheme="minorHAnsi" w:cstheme="minorHAnsi"/>
          <w:b/>
          <w:sz w:val="24"/>
          <w:szCs w:val="24"/>
        </w:rPr>
      </w:pPr>
    </w:p>
    <w:p w:rsidR="00CA7E9D" w:rsidRPr="004E7326" w:rsidRDefault="003C09BE">
      <w:pPr>
        <w:jc w:val="both"/>
        <w:rPr>
          <w:rFonts w:asciiTheme="minorHAnsi" w:eastAsia="Calibri" w:hAnsiTheme="minorHAnsi" w:cstheme="minorHAnsi"/>
          <w:b/>
          <w:sz w:val="24"/>
          <w:szCs w:val="24"/>
        </w:rPr>
      </w:pPr>
      <w:r w:rsidRPr="004E7326">
        <w:rPr>
          <w:rFonts w:asciiTheme="minorHAnsi" w:eastAsia="Calibri" w:hAnsiTheme="minorHAnsi" w:cstheme="minorHAnsi"/>
          <w:b/>
          <w:sz w:val="24"/>
          <w:szCs w:val="24"/>
        </w:rPr>
        <w:t>Annexe I :</w:t>
      </w:r>
    </w:p>
    <w:p w:rsidR="00CA7E9D" w:rsidRPr="004E7326" w:rsidRDefault="003C09BE">
      <w:pPr>
        <w:jc w:val="both"/>
        <w:rPr>
          <w:rFonts w:asciiTheme="minorHAnsi" w:eastAsia="Calibri" w:hAnsiTheme="minorHAnsi" w:cstheme="minorHAnsi"/>
          <w:sz w:val="24"/>
          <w:szCs w:val="24"/>
        </w:rPr>
      </w:pPr>
      <w:r w:rsidRPr="004E7326">
        <w:rPr>
          <w:rFonts w:asciiTheme="minorHAnsi" w:eastAsia="Calibri" w:hAnsiTheme="minorHAnsi" w:cstheme="minorHAnsi"/>
          <w:b/>
          <w:sz w:val="24"/>
          <w:szCs w:val="24"/>
        </w:rPr>
        <w:t>Conditions générales applicables aux contrats :</w:t>
      </w:r>
    </w:p>
    <w:p w:rsidR="00CA7E9D" w:rsidRPr="004E7326" w:rsidRDefault="003C09BE">
      <w:pPr>
        <w:jc w:val="both"/>
        <w:rPr>
          <w:rFonts w:asciiTheme="minorHAnsi" w:eastAsia="Calibri" w:hAnsiTheme="minorHAnsi" w:cstheme="minorHAnsi"/>
          <w:b/>
          <w:sz w:val="24"/>
          <w:szCs w:val="24"/>
        </w:rPr>
      </w:pPr>
      <w:r w:rsidRPr="004E7326">
        <w:rPr>
          <w:rFonts w:asciiTheme="minorHAnsi" w:eastAsia="Calibri" w:hAnsiTheme="minorHAnsi" w:cstheme="minorHAnsi"/>
          <w:b/>
          <w:sz w:val="24"/>
          <w:szCs w:val="24"/>
        </w:rPr>
        <w:t>Contrats visés par la clause de minimis</w:t>
      </w:r>
    </w:p>
    <w:p w:rsidR="00CA7E9D" w:rsidRPr="004E7326" w:rsidRDefault="00CA7E9D">
      <w:pPr>
        <w:jc w:val="both"/>
        <w:rPr>
          <w:rFonts w:asciiTheme="minorHAnsi" w:eastAsia="Calibri" w:hAnsiTheme="minorHAnsi" w:cstheme="minorHAnsi"/>
          <w:sz w:val="24"/>
          <w:szCs w:val="24"/>
        </w:rPr>
      </w:pPr>
    </w:p>
    <w:p w:rsidR="00CA7E9D" w:rsidRPr="004E7326" w:rsidRDefault="00CA7E9D">
      <w:pPr>
        <w:tabs>
          <w:tab w:val="left" w:pos="7020"/>
        </w:tabs>
        <w:jc w:val="both"/>
        <w:rPr>
          <w:rFonts w:asciiTheme="minorHAnsi" w:eastAsia="Calibri" w:hAnsiTheme="minorHAnsi" w:cstheme="minorHAnsi"/>
          <w:sz w:val="24"/>
          <w:szCs w:val="24"/>
        </w:rPr>
      </w:pPr>
    </w:p>
    <w:p w:rsidR="00CA7E9D" w:rsidRPr="004E7326" w:rsidRDefault="003C09BE">
      <w:pPr>
        <w:tabs>
          <w:tab w:val="left" w:pos="7020"/>
        </w:tabs>
        <w:jc w:val="both"/>
        <w:rPr>
          <w:rFonts w:asciiTheme="minorHAnsi" w:eastAsia="Calibri" w:hAnsiTheme="minorHAnsi" w:cstheme="minorHAnsi"/>
          <w:sz w:val="24"/>
          <w:szCs w:val="24"/>
        </w:rPr>
      </w:pPr>
      <w:r w:rsidRPr="004E7326">
        <w:rPr>
          <w:rFonts w:asciiTheme="minorHAnsi" w:eastAsia="Calibri" w:hAnsiTheme="minorHAnsi" w:cstheme="minorHAnsi"/>
          <w:sz w:val="24"/>
          <w:szCs w:val="24"/>
        </w:rPr>
        <w:t xml:space="preserve">Cette Demande de devis est soumise aux Conditions générales de l’UNFPA applicables aux contrats visés par la clause de minimis, disponible en </w:t>
      </w:r>
      <w:hyperlink r:id="rId17">
        <w:r w:rsidRPr="004E7326">
          <w:rPr>
            <w:rFonts w:asciiTheme="minorHAnsi" w:eastAsia="Calibri" w:hAnsiTheme="minorHAnsi" w:cstheme="minorHAnsi"/>
            <w:color w:val="000000"/>
            <w:sz w:val="24"/>
            <w:szCs w:val="24"/>
            <w:u w:val="single"/>
          </w:rPr>
          <w:t>anglais,</w:t>
        </w:r>
      </w:hyperlink>
      <w:r w:rsidRPr="004E7326">
        <w:rPr>
          <w:rFonts w:asciiTheme="minorHAnsi" w:eastAsia="Calibri" w:hAnsiTheme="minorHAnsi" w:cstheme="minorHAnsi"/>
          <w:sz w:val="24"/>
          <w:szCs w:val="24"/>
        </w:rPr>
        <w:t xml:space="preserve"> </w:t>
      </w:r>
      <w:hyperlink r:id="rId18">
        <w:r w:rsidRPr="004E7326">
          <w:rPr>
            <w:rFonts w:asciiTheme="minorHAnsi" w:eastAsia="Calibri" w:hAnsiTheme="minorHAnsi" w:cstheme="minorHAnsi"/>
            <w:color w:val="000000"/>
            <w:sz w:val="24"/>
            <w:szCs w:val="24"/>
            <w:u w:val="single"/>
          </w:rPr>
          <w:t>espagnol</w:t>
        </w:r>
      </w:hyperlink>
      <w:r w:rsidRPr="004E7326">
        <w:rPr>
          <w:rFonts w:asciiTheme="minorHAnsi" w:eastAsia="Calibri" w:hAnsiTheme="minorHAnsi" w:cstheme="minorHAnsi"/>
          <w:sz w:val="24"/>
          <w:szCs w:val="24"/>
        </w:rPr>
        <w:t xml:space="preserve"> et </w:t>
      </w:r>
      <w:hyperlink r:id="rId19">
        <w:r w:rsidRPr="004E7326">
          <w:rPr>
            <w:rFonts w:asciiTheme="minorHAnsi" w:eastAsia="Calibri" w:hAnsiTheme="minorHAnsi" w:cstheme="minorHAnsi"/>
            <w:color w:val="000000"/>
            <w:sz w:val="24"/>
            <w:szCs w:val="24"/>
            <w:u w:val="single"/>
          </w:rPr>
          <w:t>français.</w:t>
        </w:r>
      </w:hyperlink>
    </w:p>
    <w:p w:rsidR="00CA7E9D" w:rsidRPr="004E7326" w:rsidRDefault="00CA7E9D">
      <w:pPr>
        <w:tabs>
          <w:tab w:val="left" w:pos="7020"/>
        </w:tabs>
        <w:jc w:val="both"/>
        <w:rPr>
          <w:rFonts w:asciiTheme="minorHAnsi" w:eastAsia="Calibri" w:hAnsiTheme="minorHAnsi" w:cstheme="minorHAnsi"/>
          <w:sz w:val="24"/>
          <w:szCs w:val="24"/>
        </w:rPr>
      </w:pPr>
    </w:p>
    <w:p w:rsidR="00CA7E9D" w:rsidRPr="004E7326" w:rsidRDefault="00CA7E9D">
      <w:pPr>
        <w:tabs>
          <w:tab w:val="left" w:pos="7020"/>
        </w:tabs>
        <w:jc w:val="both"/>
        <w:rPr>
          <w:rFonts w:asciiTheme="minorHAnsi" w:eastAsia="Calibri" w:hAnsiTheme="minorHAnsi" w:cstheme="minorHAnsi"/>
          <w:sz w:val="24"/>
          <w:szCs w:val="24"/>
        </w:rPr>
      </w:pPr>
      <w:bookmarkStart w:id="6" w:name="_heading=h.2et92p0" w:colFirst="0" w:colLast="0"/>
      <w:bookmarkEnd w:id="6"/>
    </w:p>
    <w:sectPr w:rsidR="00CA7E9D" w:rsidRPr="004E7326">
      <w:headerReference w:type="default" r:id="rId20"/>
      <w:footerReference w:type="default" r:id="rId21"/>
      <w:pgSz w:w="12240" w:h="15840"/>
      <w:pgMar w:top="765" w:right="1416" w:bottom="765" w:left="99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5F" w:rsidRDefault="0033515F">
      <w:r>
        <w:separator/>
      </w:r>
    </w:p>
  </w:endnote>
  <w:endnote w:type="continuationSeparator" w:id="0">
    <w:p w:rsidR="0033515F" w:rsidRDefault="0033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UNFPA-Tex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horndale AMT">
    <w:panose1 w:val="00000000000000000000"/>
    <w:charset w:val="00"/>
    <w:family w:val="roman"/>
    <w:notTrueType/>
    <w:pitch w:val="default"/>
  </w:font>
  <w:font w:name="Albany A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D" w:rsidRDefault="003C09BE">
    <w:pPr>
      <w:pBdr>
        <w:top w:val="single" w:sz="24" w:space="0" w:color="622423"/>
      </w:pBdr>
      <w:tabs>
        <w:tab w:val="center" w:pos="4536"/>
        <w:tab w:val="right" w:pos="9072"/>
      </w:tabs>
      <w:jc w:val="center"/>
      <w:rPr>
        <w:color w:val="00B0F0"/>
        <w:sz w:val="18"/>
        <w:szCs w:val="18"/>
      </w:rPr>
    </w:pPr>
    <w:r>
      <w:rPr>
        <w:color w:val="00B0F0"/>
        <w:sz w:val="18"/>
        <w:szCs w:val="18"/>
      </w:rPr>
      <w:t>UNFPA Guinée, Maison Commune des Nations Unies, Coléah Lanceboudji, Corniche sud, B.P. 222, Conakry</w:t>
    </w:r>
  </w:p>
  <w:p w:rsidR="00CA7E9D" w:rsidRPr="00B45CC2" w:rsidRDefault="003C09BE">
    <w:pPr>
      <w:pBdr>
        <w:top w:val="single" w:sz="24" w:space="0" w:color="622423"/>
      </w:pBdr>
      <w:tabs>
        <w:tab w:val="right" w:pos="9072"/>
      </w:tabs>
      <w:jc w:val="center"/>
      <w:rPr>
        <w:color w:val="00B0F0"/>
        <w:sz w:val="18"/>
        <w:szCs w:val="18"/>
        <w:lang w:val="en-US"/>
      </w:rPr>
    </w:pPr>
    <w:r w:rsidRPr="00B45CC2">
      <w:rPr>
        <w:color w:val="00B0F0"/>
        <w:sz w:val="18"/>
        <w:szCs w:val="18"/>
        <w:lang w:val="en-US"/>
      </w:rPr>
      <w:t>Tél. (224) 629-29-29-45-23/629-29-45-25, site web : http://www.guinea.unfpa.org</w:t>
    </w:r>
  </w:p>
  <w:p w:rsidR="00CA7E9D" w:rsidRPr="00B45CC2" w:rsidRDefault="00CA7E9D">
    <w:pPr>
      <w:pBdr>
        <w:top w:val="single" w:sz="24" w:space="0" w:color="622423"/>
      </w:pBdr>
      <w:tabs>
        <w:tab w:val="right" w:pos="9072"/>
      </w:tabs>
      <w:jc w:val="center"/>
      <w:rPr>
        <w:color w:val="00B0F0"/>
        <w:sz w:val="18"/>
        <w:szCs w:val="18"/>
        <w:lang w:val="en-US"/>
      </w:rPr>
    </w:pPr>
  </w:p>
  <w:p w:rsidR="00CA7E9D" w:rsidRDefault="003C09B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noProof/>
        <w:lang w:eastAsia="fr-FR"/>
      </w:rPr>
      <mc:AlternateContent>
        <mc:Choice Requires="wps">
          <w:drawing>
            <wp:anchor distT="0" distB="0" distL="0" distR="0" simplePos="0" relativeHeight="251659264" behindDoc="0" locked="0" layoutInCell="1" hidden="0" allowOverlap="1">
              <wp:simplePos x="0" y="0"/>
              <wp:positionH relativeFrom="column">
                <wp:posOffset>5422900</wp:posOffset>
              </wp:positionH>
              <wp:positionV relativeFrom="paragraph">
                <wp:posOffset>0</wp:posOffset>
              </wp:positionV>
              <wp:extent cx="603885" cy="142875"/>
              <wp:effectExtent l="0" t="0" r="0" b="0"/>
              <wp:wrapSquare wrapText="bothSides" distT="0" distB="0" distL="0" distR="0"/>
              <wp:docPr id="583" name="Rectangle 583"/>
              <wp:cNvGraphicFramePr/>
              <a:graphic xmlns:a="http://schemas.openxmlformats.org/drawingml/2006/main">
                <a:graphicData uri="http://schemas.microsoft.com/office/word/2010/wordprocessingShape">
                  <wps:wsp>
                    <wps:cNvSpPr/>
                    <wps:spPr>
                      <a:xfrm>
                        <a:off x="5048820" y="3713325"/>
                        <a:ext cx="594360" cy="133350"/>
                      </a:xfrm>
                      <a:prstGeom prst="rect">
                        <a:avLst/>
                      </a:prstGeom>
                      <a:solidFill>
                        <a:srgbClr val="FFFFFF">
                          <a:alpha val="0"/>
                        </a:srgbClr>
                      </a:solidFill>
                      <a:ln>
                        <a:noFill/>
                      </a:ln>
                    </wps:spPr>
                    <wps:txbx>
                      <w:txbxContent>
                        <w:p w:rsidR="00CA7E9D" w:rsidRDefault="003C09BE">
                          <w:pPr>
                            <w:jc w:val="right"/>
                            <w:textDirection w:val="btLr"/>
                          </w:pPr>
                          <w:r>
                            <w:rPr>
                              <w:rFonts w:ascii="Arial" w:eastAsia="Arial" w:hAnsi="Arial" w:cs="Arial"/>
                              <w:color w:val="000000"/>
                              <w:sz w:val="28"/>
                            </w:rPr>
                            <w:t>PAGE31</w:t>
                          </w:r>
                          <w:r>
                            <w:rPr>
                              <w:rFonts w:ascii="Calibri" w:eastAsia="Calibri" w:hAnsi="Calibri" w:cs="Calibri"/>
                              <w:color w:val="000000"/>
                              <w:sz w:val="18"/>
                            </w:rPr>
                            <w:t xml:space="preserve"> sur </w:t>
                          </w:r>
                          <w:r>
                            <w:rPr>
                              <w:rFonts w:ascii="Arial" w:eastAsia="Arial" w:hAnsi="Arial" w:cs="Arial"/>
                              <w:color w:val="000000"/>
                              <w:sz w:val="28"/>
                            </w:rPr>
                            <w:t>NUMPAGES31</w:t>
                          </w:r>
                        </w:p>
                      </w:txbxContent>
                    </wps:txbx>
                    <wps:bodyPr spcFirstLastPara="1" wrap="square" lIns="0" tIns="0" rIns="0" bIns="0" anchor="t" anchorCtr="0">
                      <a:noAutofit/>
                    </wps:bodyPr>
                  </wps:wsp>
                </a:graphicData>
              </a:graphic>
            </wp:anchor>
          </w:drawing>
        </mc:Choice>
        <mc:Fallback>
          <w:pict>
            <v:rect id="Rectangle 583" o:spid="_x0000_s1027" style="position:absolute;margin-left:427pt;margin-top:0;width:47.55pt;height:1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" stroked="f">
              <v:fill opacity="0"/>
              <v:textbox inset="0,0,0,0">
                <w:txbxContent>
                  <w:p w:rsidR="00CA7E9D" w:rsidRDefault="003C09BE">
                    <w:pPr>
                      <w:jc w:val="right"/>
                      <w:textDirection w:val="btLr"/>
                    </w:pPr>
                    <w:r>
                      <w:rPr>
                        <w:rFonts w:ascii="Arial" w:eastAsia="Arial" w:hAnsi="Arial" w:cs="Arial"/>
                        <w:color w:val="000000"/>
                        <w:sz w:val="28"/>
                      </w:rPr>
                      <w:t>PAGE31</w:t>
                    </w:r>
                    <w:r>
                      <w:rPr>
                        <w:rFonts w:ascii="Calibri" w:eastAsia="Calibri" w:hAnsi="Calibri" w:cs="Calibri"/>
                        <w:color w:val="000000"/>
                        <w:sz w:val="18"/>
                      </w:rPr>
                      <w:t xml:space="preserve"> sur </w:t>
                    </w:r>
                    <w:r>
                      <w:rPr>
                        <w:rFonts w:ascii="Arial" w:eastAsia="Arial" w:hAnsi="Arial" w:cs="Arial"/>
                        <w:color w:val="000000"/>
                        <w:sz w:val="28"/>
                      </w:rPr>
                      <w:t>NUMPAGES31</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5F" w:rsidRDefault="0033515F">
      <w:r>
        <w:separator/>
      </w:r>
    </w:p>
  </w:footnote>
  <w:footnote w:type="continuationSeparator" w:id="0">
    <w:p w:rsidR="0033515F" w:rsidRDefault="0033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D" w:rsidRDefault="00CA7E9D">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CA7E9D" w:rsidRDefault="00CA7E9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C67"/>
    <w:multiLevelType w:val="multilevel"/>
    <w:tmpl w:val="1B722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87EB4"/>
    <w:multiLevelType w:val="multilevel"/>
    <w:tmpl w:val="41E42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6099A"/>
    <w:multiLevelType w:val="multilevel"/>
    <w:tmpl w:val="F7089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224D7E"/>
    <w:multiLevelType w:val="multilevel"/>
    <w:tmpl w:val="59940ECA"/>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B014A74"/>
    <w:multiLevelType w:val="multilevel"/>
    <w:tmpl w:val="ED244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70102E"/>
    <w:multiLevelType w:val="multilevel"/>
    <w:tmpl w:val="AA82E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34570C"/>
    <w:multiLevelType w:val="multilevel"/>
    <w:tmpl w:val="3DB220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EF510C"/>
    <w:multiLevelType w:val="multilevel"/>
    <w:tmpl w:val="217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3716E5"/>
    <w:multiLevelType w:val="multilevel"/>
    <w:tmpl w:val="03E27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4400B1"/>
    <w:multiLevelType w:val="multilevel"/>
    <w:tmpl w:val="567EB7D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1AB7104F"/>
    <w:multiLevelType w:val="multilevel"/>
    <w:tmpl w:val="90DE0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C9526F"/>
    <w:multiLevelType w:val="multilevel"/>
    <w:tmpl w:val="5204E452"/>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950" w:hanging="720"/>
      </w:pPr>
    </w:lvl>
    <w:lvl w:ilvl="3">
      <w:start w:val="1"/>
      <w:numFmt w:val="decimal"/>
      <w:lvlText w:val="%1.%2.%3.%4"/>
      <w:lvlJc w:val="left"/>
      <w:pPr>
        <w:ind w:left="2565" w:hanging="720"/>
      </w:pPr>
    </w:lvl>
    <w:lvl w:ilvl="4">
      <w:start w:val="1"/>
      <w:numFmt w:val="decimal"/>
      <w:lvlText w:val="%1.%2.%3.%4.%5"/>
      <w:lvlJc w:val="left"/>
      <w:pPr>
        <w:ind w:left="3540" w:hanging="1080"/>
      </w:pPr>
    </w:lvl>
    <w:lvl w:ilvl="5">
      <w:start w:val="1"/>
      <w:numFmt w:val="decimal"/>
      <w:lvlText w:val="%1.%2.%3.%4.%5.%6"/>
      <w:lvlJc w:val="left"/>
      <w:pPr>
        <w:ind w:left="4155" w:hanging="1080"/>
      </w:pPr>
    </w:lvl>
    <w:lvl w:ilvl="6">
      <w:start w:val="1"/>
      <w:numFmt w:val="decimal"/>
      <w:lvlText w:val="%1.%2.%3.%4.%5.%6.%7"/>
      <w:lvlJc w:val="left"/>
      <w:pPr>
        <w:ind w:left="5130" w:hanging="1440"/>
      </w:pPr>
    </w:lvl>
    <w:lvl w:ilvl="7">
      <w:start w:val="1"/>
      <w:numFmt w:val="decimal"/>
      <w:lvlText w:val="%1.%2.%3.%4.%5.%6.%7.%8"/>
      <w:lvlJc w:val="left"/>
      <w:pPr>
        <w:ind w:left="5745" w:hanging="1440"/>
      </w:pPr>
    </w:lvl>
    <w:lvl w:ilvl="8">
      <w:start w:val="1"/>
      <w:numFmt w:val="decimal"/>
      <w:lvlText w:val="%1.%2.%3.%4.%5.%6.%7.%8.%9"/>
      <w:lvlJc w:val="left"/>
      <w:pPr>
        <w:ind w:left="6360" w:hanging="1440"/>
      </w:pPr>
    </w:lvl>
  </w:abstractNum>
  <w:abstractNum w:abstractNumId="12" w15:restartNumberingAfterBreak="0">
    <w:nsid w:val="1B5F432A"/>
    <w:multiLevelType w:val="multilevel"/>
    <w:tmpl w:val="AA88A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997681"/>
    <w:multiLevelType w:val="multilevel"/>
    <w:tmpl w:val="2116AB2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47EA1"/>
    <w:multiLevelType w:val="hybridMultilevel"/>
    <w:tmpl w:val="B29C8D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E041C"/>
    <w:multiLevelType w:val="multilevel"/>
    <w:tmpl w:val="C6DA45C6"/>
    <w:lvl w:ilvl="0">
      <w:start w:val="12"/>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6" w15:restartNumberingAfterBreak="0">
    <w:nsid w:val="25932020"/>
    <w:multiLevelType w:val="multilevel"/>
    <w:tmpl w:val="513CEA4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2A6D44C0"/>
    <w:multiLevelType w:val="multilevel"/>
    <w:tmpl w:val="9F7603F8"/>
    <w:lvl w:ilvl="0">
      <w:numFmt w:val="bullet"/>
      <w:lvlText w:val="-"/>
      <w:lvlJc w:val="left"/>
      <w:pPr>
        <w:ind w:left="1080" w:hanging="360"/>
      </w:pPr>
      <w:rPr>
        <w:rFonts w:ascii="Arial Narrow" w:eastAsia="Arial Narrow" w:hAnsi="Arial Narrow" w:cs="Arial Narr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3C30718"/>
    <w:multiLevelType w:val="multilevel"/>
    <w:tmpl w:val="88B297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3435083D"/>
    <w:multiLevelType w:val="multilevel"/>
    <w:tmpl w:val="661EEB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8304DE7"/>
    <w:multiLevelType w:val="hybridMultilevel"/>
    <w:tmpl w:val="EBFE1D2A"/>
    <w:lvl w:ilvl="0" w:tplc="8C181138">
      <w:start w:val="1"/>
      <w:numFmt w:val="decimal"/>
      <w:lvlText w:val="%1."/>
      <w:lvlJc w:val="left"/>
      <w:pPr>
        <w:ind w:left="890" w:hanging="53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388C19D8"/>
    <w:multiLevelType w:val="multilevel"/>
    <w:tmpl w:val="54F00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801553"/>
    <w:multiLevelType w:val="multilevel"/>
    <w:tmpl w:val="A412C8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3" w15:restartNumberingAfterBreak="0">
    <w:nsid w:val="3B3E039F"/>
    <w:multiLevelType w:val="multilevel"/>
    <w:tmpl w:val="30EC3E3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B433C4B"/>
    <w:multiLevelType w:val="multilevel"/>
    <w:tmpl w:val="6F2C5700"/>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5" w15:restartNumberingAfterBreak="0">
    <w:nsid w:val="3D372F97"/>
    <w:multiLevelType w:val="multilevel"/>
    <w:tmpl w:val="DA6E5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DA6070"/>
    <w:multiLevelType w:val="multilevel"/>
    <w:tmpl w:val="C96E3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A97D59"/>
    <w:multiLevelType w:val="multilevel"/>
    <w:tmpl w:val="21F402AA"/>
    <w:lvl w:ilvl="0">
      <w:start w:val="1"/>
      <w:numFmt w:val="decimal"/>
      <w:lvlText w:val="%1."/>
      <w:lvlJc w:val="left"/>
      <w:pPr>
        <w:ind w:left="1710" w:hanging="360"/>
      </w:pPr>
      <w:rPr>
        <w:b/>
      </w:rPr>
    </w:lvl>
    <w:lvl w:ilvl="1">
      <w:start w:val="1"/>
      <w:numFmt w:val="decimal"/>
      <w:lvlText w:val="%1.%2"/>
      <w:lvlJc w:val="left"/>
      <w:pPr>
        <w:ind w:left="180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3240" w:hanging="1800"/>
      </w:pPr>
    </w:lvl>
  </w:abstractNum>
  <w:abstractNum w:abstractNumId="28" w15:restartNumberingAfterBreak="0">
    <w:nsid w:val="43333B2A"/>
    <w:multiLevelType w:val="multilevel"/>
    <w:tmpl w:val="E730DEC6"/>
    <w:lvl w:ilvl="0">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9" w15:restartNumberingAfterBreak="0">
    <w:nsid w:val="47374B21"/>
    <w:multiLevelType w:val="multilevel"/>
    <w:tmpl w:val="C78A8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FA41E1"/>
    <w:multiLevelType w:val="multilevel"/>
    <w:tmpl w:val="4B50A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9114FE"/>
    <w:multiLevelType w:val="multilevel"/>
    <w:tmpl w:val="FA66BF7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3465D8"/>
    <w:multiLevelType w:val="multilevel"/>
    <w:tmpl w:val="AEFA421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3" w15:restartNumberingAfterBreak="0">
    <w:nsid w:val="55626449"/>
    <w:multiLevelType w:val="multilevel"/>
    <w:tmpl w:val="37181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8DF3AA5"/>
    <w:multiLevelType w:val="multilevel"/>
    <w:tmpl w:val="37CCDB72"/>
    <w:lvl w:ilvl="0">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5" w15:restartNumberingAfterBreak="0">
    <w:nsid w:val="61AB28D7"/>
    <w:multiLevelType w:val="multilevel"/>
    <w:tmpl w:val="0E3443E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364" w:hanging="360"/>
      </w:pPr>
      <w:rPr>
        <w:rFonts w:ascii="Noto Sans Symbols" w:eastAsia="Noto Sans Symbols" w:hAnsi="Noto Sans Symbols" w:cs="Noto Sans Symbols"/>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6" w15:restartNumberingAfterBreak="0">
    <w:nsid w:val="61FB153C"/>
    <w:multiLevelType w:val="multilevel"/>
    <w:tmpl w:val="CBC039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4026CA8"/>
    <w:multiLevelType w:val="multilevel"/>
    <w:tmpl w:val="860AB280"/>
    <w:lvl w:ilvl="0">
      <w:start w:val="1"/>
      <w:numFmt w:val="upperRoman"/>
      <w:lvlText w:val="%1."/>
      <w:lvlJc w:val="righ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64667B5"/>
    <w:multiLevelType w:val="hybridMultilevel"/>
    <w:tmpl w:val="B896DE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7A56946"/>
    <w:multiLevelType w:val="multilevel"/>
    <w:tmpl w:val="FB2EDC5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0" w15:restartNumberingAfterBreak="0">
    <w:nsid w:val="69291FB2"/>
    <w:multiLevelType w:val="multilevel"/>
    <w:tmpl w:val="2E283E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31717A"/>
    <w:multiLevelType w:val="multilevel"/>
    <w:tmpl w:val="563CACDC"/>
    <w:lvl w:ilvl="0">
      <w:numFmt w:val="bullet"/>
      <w:lvlText w:val="-"/>
      <w:lvlJc w:val="left"/>
      <w:pPr>
        <w:ind w:left="106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2" w15:restartNumberingAfterBreak="0">
    <w:nsid w:val="6C3E5BEE"/>
    <w:multiLevelType w:val="multilevel"/>
    <w:tmpl w:val="08EA470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43" w15:restartNumberingAfterBreak="0">
    <w:nsid w:val="6CD9049D"/>
    <w:multiLevelType w:val="multilevel"/>
    <w:tmpl w:val="34D05634"/>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4" w15:restartNumberingAfterBreak="0">
    <w:nsid w:val="6E2C6993"/>
    <w:multiLevelType w:val="multilevel"/>
    <w:tmpl w:val="0652E9E4"/>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45" w15:restartNumberingAfterBreak="0">
    <w:nsid w:val="6FBB2C8D"/>
    <w:multiLevelType w:val="multilevel"/>
    <w:tmpl w:val="927E8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D6C709A"/>
    <w:multiLevelType w:val="multilevel"/>
    <w:tmpl w:val="336ADAEA"/>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6"/>
  </w:num>
  <w:num w:numId="2">
    <w:abstractNumId w:val="17"/>
  </w:num>
  <w:num w:numId="3">
    <w:abstractNumId w:val="29"/>
  </w:num>
  <w:num w:numId="4">
    <w:abstractNumId w:val="37"/>
  </w:num>
  <w:num w:numId="5">
    <w:abstractNumId w:val="24"/>
  </w:num>
  <w:num w:numId="6">
    <w:abstractNumId w:val="8"/>
  </w:num>
  <w:num w:numId="7">
    <w:abstractNumId w:val="25"/>
  </w:num>
  <w:num w:numId="8">
    <w:abstractNumId w:val="21"/>
  </w:num>
  <w:num w:numId="9">
    <w:abstractNumId w:val="45"/>
  </w:num>
  <w:num w:numId="10">
    <w:abstractNumId w:val="30"/>
  </w:num>
  <w:num w:numId="11">
    <w:abstractNumId w:val="36"/>
  </w:num>
  <w:num w:numId="12">
    <w:abstractNumId w:val="23"/>
  </w:num>
  <w:num w:numId="13">
    <w:abstractNumId w:val="41"/>
  </w:num>
  <w:num w:numId="14">
    <w:abstractNumId w:val="6"/>
  </w:num>
  <w:num w:numId="15">
    <w:abstractNumId w:val="26"/>
  </w:num>
  <w:num w:numId="16">
    <w:abstractNumId w:val="46"/>
  </w:num>
  <w:num w:numId="17">
    <w:abstractNumId w:val="0"/>
  </w:num>
  <w:num w:numId="18">
    <w:abstractNumId w:val="10"/>
  </w:num>
  <w:num w:numId="19">
    <w:abstractNumId w:val="7"/>
  </w:num>
  <w:num w:numId="20">
    <w:abstractNumId w:val="3"/>
  </w:num>
  <w:num w:numId="21">
    <w:abstractNumId w:val="32"/>
  </w:num>
  <w:num w:numId="22">
    <w:abstractNumId w:val="13"/>
  </w:num>
  <w:num w:numId="23">
    <w:abstractNumId w:val="44"/>
  </w:num>
  <w:num w:numId="24">
    <w:abstractNumId w:val="28"/>
  </w:num>
  <w:num w:numId="25">
    <w:abstractNumId w:val="2"/>
  </w:num>
  <w:num w:numId="26">
    <w:abstractNumId w:val="11"/>
  </w:num>
  <w:num w:numId="27">
    <w:abstractNumId w:val="31"/>
  </w:num>
  <w:num w:numId="28">
    <w:abstractNumId w:val="35"/>
  </w:num>
  <w:num w:numId="29">
    <w:abstractNumId w:val="15"/>
  </w:num>
  <w:num w:numId="30">
    <w:abstractNumId w:val="12"/>
  </w:num>
  <w:num w:numId="31">
    <w:abstractNumId w:val="22"/>
  </w:num>
  <w:num w:numId="32">
    <w:abstractNumId w:val="4"/>
  </w:num>
  <w:num w:numId="33">
    <w:abstractNumId w:val="33"/>
  </w:num>
  <w:num w:numId="34">
    <w:abstractNumId w:val="27"/>
  </w:num>
  <w:num w:numId="35">
    <w:abstractNumId w:val="3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9"/>
  </w:num>
  <w:num w:numId="41">
    <w:abstractNumId w:val="9"/>
  </w:num>
  <w:num w:numId="42">
    <w:abstractNumId w:val="18"/>
  </w:num>
  <w:num w:numId="43">
    <w:abstractNumId w:val="1"/>
  </w:num>
  <w:num w:numId="44">
    <w:abstractNumId w:val="43"/>
    <w:lvlOverride w:ilvl="0">
      <w:startOverride w:val="1"/>
    </w:lvlOverride>
    <w:lvlOverride w:ilvl="1"/>
    <w:lvlOverride w:ilvl="2"/>
    <w:lvlOverride w:ilvl="3"/>
    <w:lvlOverride w:ilvl="4"/>
    <w:lvlOverride w:ilvl="5"/>
    <w:lvlOverride w:ilvl="6"/>
    <w:lvlOverride w:ilvl="7"/>
    <w:lvlOverride w:ilvl="8"/>
  </w:num>
  <w:num w:numId="45">
    <w:abstractNumId w:val="19"/>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9D"/>
    <w:rsid w:val="001A1711"/>
    <w:rsid w:val="002D631D"/>
    <w:rsid w:val="0033515F"/>
    <w:rsid w:val="003C09BE"/>
    <w:rsid w:val="004B1FBF"/>
    <w:rsid w:val="004E7326"/>
    <w:rsid w:val="0055448E"/>
    <w:rsid w:val="0070089A"/>
    <w:rsid w:val="0074303B"/>
    <w:rsid w:val="009C0ED4"/>
    <w:rsid w:val="00B45CC2"/>
    <w:rsid w:val="00B959CF"/>
    <w:rsid w:val="00BF6AC3"/>
    <w:rsid w:val="00CA7E9D"/>
    <w:rsid w:val="00D04C88"/>
    <w:rsid w:val="00F42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91B7"/>
  <w15:docId w15:val="{946E3B06-3DFE-4B3A-8AA9-3A1E824A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F18C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character" w:customStyle="1" w:styleId="InternetLink">
    <w:name w:val="Internet Link"/>
    <w:rsid w:val="00A2199D"/>
    <w:rPr>
      <w:color w:val="003366"/>
      <w:u w:val="single"/>
    </w:rPr>
  </w:style>
  <w:style w:type="character" w:styleId="PageNumber">
    <w:name w:val="page number"/>
    <w:basedOn w:val="DefaultParagraphFont"/>
    <w:qFormat/>
    <w:rsid w:val="009C12A0"/>
  </w:style>
  <w:style w:type="character" w:customStyle="1" w:styleId="BalloonTextChar">
    <w:name w:val="Balloon Text Char"/>
    <w:link w:val="BalloonText"/>
    <w:uiPriority w:val="99"/>
    <w:qFormat/>
    <w:rsid w:val="00963E09"/>
    <w:rPr>
      <w:rFonts w:ascii="Tahoma" w:hAnsi="Tahoma" w:cs="Tahoma"/>
      <w:sz w:val="16"/>
      <w:szCs w:val="16"/>
      <w:lang w:eastAsia="en-US"/>
    </w:rPr>
  </w:style>
  <w:style w:type="character" w:styleId="FollowedHyperlink">
    <w:name w:val="FollowedHyperlink"/>
    <w:qFormat/>
    <w:rsid w:val="00C63627"/>
    <w:rPr>
      <w:color w:val="800080"/>
      <w:u w:val="single"/>
    </w:rPr>
  </w:style>
  <w:style w:type="character" w:customStyle="1" w:styleId="Heading3Char">
    <w:name w:val="Heading 3 Char"/>
    <w:link w:val="Heading3"/>
    <w:semiHidden/>
    <w:qFormat/>
    <w:rsid w:val="00991963"/>
    <w:rPr>
      <w:rFonts w:ascii="Cambria" w:eastAsia="Times New Roman" w:hAnsi="Cambria" w:cs="Times New Roman"/>
      <w:b/>
      <w:bCs/>
      <w:sz w:val="26"/>
      <w:szCs w:val="26"/>
      <w:lang w:eastAsia="en-US"/>
    </w:rPr>
  </w:style>
  <w:style w:type="character" w:customStyle="1" w:styleId="Heading1Char">
    <w:name w:val="Heading 1 Char"/>
    <w:link w:val="Heading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B579A"/>
    <w:rPr>
      <w:rFonts w:ascii="Calibri" w:hAnsi="Calibri"/>
      <w:bCs/>
      <w:sz w:val="22"/>
      <w:szCs w:val="22"/>
      <w:lang w:eastAsia="en-US"/>
    </w:rPr>
  </w:style>
  <w:style w:type="character" w:customStyle="1" w:styleId="FootnoteTextChar">
    <w:name w:val="Footnote Text Char"/>
    <w:link w:val="FootnoteText"/>
    <w:qFormat/>
    <w:rsid w:val="00782483"/>
    <w:rPr>
      <w:lang w:eastAsia="en-US"/>
    </w:rPr>
  </w:style>
  <w:style w:type="character" w:styleId="FootnoteReference">
    <w:name w:val="footnote reference"/>
    <w:qFormat/>
    <w:rsid w:val="00782483"/>
    <w:rPr>
      <w:vertAlign w:val="superscript"/>
    </w:rPr>
  </w:style>
  <w:style w:type="character" w:customStyle="1" w:styleId="ListParagraphChar">
    <w:name w:val="List Paragraph Char"/>
    <w:aliases w:val="References Char,MCHIP_list paragraph Char,List Paragraph1 Char,Recommendation Char,Bullet List Char,FooterText Char,Bioforce zListePuce Char,Colorful List - Accent 11 Char,numbered Char,Paragraphe de liste1 Char,列出段落 Char,列出段落1 Char"/>
    <w:link w:val="ListParagraph"/>
    <w:uiPriority w:val="34"/>
    <w:qFormat/>
    <w:locked/>
    <w:rsid w:val="002E4A31"/>
    <w:rPr>
      <w:sz w:val="22"/>
    </w:rPr>
  </w:style>
  <w:style w:type="character" w:styleId="CommentReference">
    <w:name w:val="annotation reference"/>
    <w:uiPriority w:val="99"/>
    <w:qFormat/>
    <w:rsid w:val="002E4A31"/>
    <w:rPr>
      <w:sz w:val="16"/>
      <w:szCs w:val="16"/>
    </w:rPr>
  </w:style>
  <w:style w:type="character" w:customStyle="1" w:styleId="CommentTextChar">
    <w:name w:val="Comment Text Char"/>
    <w:link w:val="CommentText"/>
    <w:uiPriority w:val="99"/>
    <w:qFormat/>
    <w:rsid w:val="002E4A31"/>
    <w:rPr>
      <w:lang w:eastAsia="en-US"/>
    </w:rPr>
  </w:style>
  <w:style w:type="character" w:customStyle="1" w:styleId="CommentSubjectChar">
    <w:name w:val="Comment Subject Char"/>
    <w:link w:val="CommentSubject"/>
    <w:qFormat/>
    <w:rsid w:val="002E4A31"/>
    <w:rPr>
      <w:b/>
      <w:bCs/>
      <w:lang w:eastAsia="en-US"/>
    </w:rPr>
  </w:style>
  <w:style w:type="character" w:customStyle="1" w:styleId="TitleChar">
    <w:name w:val="Title Char"/>
    <w:link w:val="Title"/>
    <w:qFormat/>
    <w:locked/>
    <w:rsid w:val="006F59E9"/>
    <w:rPr>
      <w:b/>
      <w:bCs/>
      <w:sz w:val="24"/>
      <w:u w:val="single"/>
      <w:lang w:eastAsia="en-US"/>
    </w:rPr>
  </w:style>
  <w:style w:type="character" w:styleId="PlaceholderText">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ListLabel5">
    <w:name w:val="ListLabel 5"/>
    <w:qFormat/>
    <w:rPr>
      <w:b/>
      <w:sz w:val="22"/>
      <w:szCs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
    <w:name w:val="List"/>
    <w:basedOn w:val="TextBody"/>
    <w:rPr>
      <w:rFonts w:cs="FreeSans"/>
    </w:rPr>
  </w:style>
  <w:style w:type="paragraph" w:styleId="Caption">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Header">
    <w:name w:val="header"/>
    <w:basedOn w:val="Normal"/>
    <w:rsid w:val="00A2199D"/>
    <w:pPr>
      <w:tabs>
        <w:tab w:val="center" w:pos="4320"/>
        <w:tab w:val="right" w:pos="8640"/>
      </w:tabs>
    </w:pPr>
    <w:rPr>
      <w:rFonts w:ascii="Times" w:eastAsia="Times" w:hAnsi="Times"/>
      <w:sz w:val="24"/>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qFormat/>
    <w:rsid w:val="009C12A0"/>
    <w:pPr>
      <w:tabs>
        <w:tab w:val="center" w:pos="4320"/>
        <w:tab w:val="right" w:pos="8640"/>
      </w:tabs>
      <w:spacing w:line="170" w:lineRule="exact"/>
    </w:pPr>
    <w:rPr>
      <w:rFonts w:ascii="UNFPA-Text" w:eastAsia="Times" w:hAnsi="UNFPA-Text"/>
      <w:sz w:val="13"/>
    </w:rPr>
  </w:style>
  <w:style w:type="paragraph" w:styleId="BalloonText">
    <w:name w:val="Balloon Text"/>
    <w:basedOn w:val="Normal"/>
    <w:link w:val="BalloonTextChar"/>
    <w:uiPriority w:val="99"/>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B579A"/>
    <w:pPr>
      <w:spacing w:before="60" w:after="60"/>
      <w:textAlignment w:val="baseline"/>
    </w:pPr>
    <w:rPr>
      <w:rFonts w:ascii="Calibri" w:hAnsi="Calibri"/>
      <w:bCs/>
      <w:sz w:val="22"/>
      <w:szCs w:val="22"/>
      <w:lang w:eastAsia="en-US"/>
    </w:rPr>
  </w:style>
  <w:style w:type="paragraph" w:styleId="FootnoteText">
    <w:name w:val="footnote text"/>
    <w:basedOn w:val="Normal"/>
    <w:link w:val="FootnoteTextChar"/>
    <w:qFormat/>
    <w:rsid w:val="00782483"/>
  </w:style>
  <w:style w:type="paragraph" w:styleId="ListParagraph">
    <w:name w:val="List Paragraph"/>
    <w:aliases w:val="References,MCHIP_list paragraph,List Paragraph1,Recommendation,Bullet List,FooterText,Bioforce zListePuce,Colorful List - Accent 11,numbered,Paragraphe de liste1,列出段落,列出段落1,Bulletr List Paragraph,List Paragraph2,List Paragraph21,リスト段落1"/>
    <w:basedOn w:val="Normal"/>
    <w:link w:val="ListParagraphChar"/>
    <w:uiPriority w:val="34"/>
    <w:qFormat/>
    <w:rsid w:val="002E4A31"/>
    <w:pPr>
      <w:ind w:left="720"/>
      <w:textAlignment w:val="baseline"/>
    </w:pPr>
    <w:rPr>
      <w:sz w:val="22"/>
      <w:lang w:eastAsia="en-GB"/>
    </w:rPr>
  </w:style>
  <w:style w:type="paragraph" w:styleId="CommentText">
    <w:name w:val="annotation text"/>
    <w:basedOn w:val="Normal"/>
    <w:link w:val="CommentTextChar"/>
    <w:uiPriority w:val="99"/>
    <w:qFormat/>
    <w:rsid w:val="002E4A31"/>
  </w:style>
  <w:style w:type="paragraph" w:styleId="CommentSubject">
    <w:name w:val="annotation subject"/>
    <w:basedOn w:val="CommentText"/>
    <w:link w:val="CommentSubjectChar"/>
    <w:qFormat/>
    <w:rsid w:val="002E4A31"/>
    <w:rPr>
      <w:b/>
      <w:bCs/>
    </w:rPr>
  </w:style>
  <w:style w:type="paragraph" w:styleId="Re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Normal"/>
    <w:next w:val="Normal"/>
    <w:pPr>
      <w:keepNext/>
      <w:spacing w:before="240" w:after="120"/>
    </w:pPr>
    <w:rPr>
      <w:rFonts w:ascii="Liberation Sans" w:eastAsia="Liberation Sans" w:hAnsi="Liberation Sans" w:cs="Liberation Sans"/>
      <w:sz w:val="28"/>
      <w:szCs w:val="28"/>
    </w:rPr>
  </w:style>
  <w:style w:type="table" w:styleId="TableGrid">
    <w:name w:val="Table Grid"/>
    <w:basedOn w:val="TableNormal"/>
    <w:uiPriority w:val="59"/>
    <w:rsid w:val="009919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1153"/>
    <w:rPr>
      <w:color w:val="003366"/>
      <w:u w:val="single"/>
    </w:rPr>
  </w:style>
  <w:style w:type="character" w:customStyle="1" w:styleId="Heading4Char">
    <w:name w:val="Heading 4 Char"/>
    <w:basedOn w:val="DefaultParagraphFont"/>
    <w:link w:val="Heading4"/>
    <w:semiHidden/>
    <w:rsid w:val="009F18C1"/>
    <w:rPr>
      <w:rFonts w:asciiTheme="majorHAnsi" w:eastAsiaTheme="majorEastAsia" w:hAnsiTheme="majorHAnsi" w:cstheme="majorBidi"/>
      <w:i/>
      <w:iCs/>
      <w:color w:val="365F91" w:themeColor="accent1" w:themeShade="BF"/>
      <w:lang w:eastAsia="en-US"/>
    </w:rPr>
  </w:style>
  <w:style w:type="paragraph" w:customStyle="1" w:styleId="Default">
    <w:name w:val="Default"/>
    <w:link w:val="DefaultChar"/>
    <w:rsid w:val="009F18C1"/>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locked/>
    <w:rsid w:val="009F18C1"/>
    <w:rPr>
      <w:rFonts w:ascii="Arial" w:hAnsi="Arial" w:cs="Arial"/>
      <w:color w:val="000000"/>
      <w:sz w:val="24"/>
      <w:szCs w:val="24"/>
      <w:lang w:val="en-US" w:eastAsia="en-US"/>
    </w:rPr>
  </w:style>
  <w:style w:type="paragraph" w:styleId="NoSpacing">
    <w:name w:val="No Spacing"/>
    <w:uiPriority w:val="1"/>
    <w:qFormat/>
    <w:rsid w:val="009F18C1"/>
    <w:rPr>
      <w:rFonts w:asciiTheme="minorHAnsi" w:hAnsiTheme="minorHAnsi" w:cs="Calibri"/>
      <w:sz w:val="22"/>
      <w:szCs w:val="22"/>
      <w:lang w:eastAsia="en-US"/>
    </w:rPr>
  </w:style>
  <w:style w:type="paragraph" w:customStyle="1" w:styleId="TableContents">
    <w:name w:val="Table Contents"/>
    <w:basedOn w:val="Normal"/>
    <w:rsid w:val="009F18C1"/>
    <w:pPr>
      <w:widowControl w:val="0"/>
      <w:suppressLineNumbers/>
      <w:suppressAutoHyphens/>
    </w:pPr>
    <w:rPr>
      <w:rFonts w:ascii="Thorndale AMT" w:hAnsi="Thorndale AMT" w:cs="Albany AMT"/>
      <w:sz w:val="24"/>
      <w:szCs w:val="24"/>
    </w:rPr>
  </w:style>
  <w:style w:type="paragraph" w:customStyle="1" w:styleId="paragraph">
    <w:name w:val="paragraph"/>
    <w:basedOn w:val="Normal"/>
    <w:link w:val="paragraphChar"/>
    <w:rsid w:val="009F18C1"/>
    <w:pPr>
      <w:spacing w:before="100" w:beforeAutospacing="1" w:after="100" w:afterAutospacing="1"/>
    </w:pPr>
    <w:rPr>
      <w:sz w:val="24"/>
      <w:szCs w:val="24"/>
      <w:lang w:val="fr-ML" w:eastAsia="fr-ML"/>
    </w:rPr>
  </w:style>
  <w:style w:type="character" w:customStyle="1" w:styleId="paragraphChar">
    <w:name w:val="paragraph Char"/>
    <w:basedOn w:val="DefaultParagraphFont"/>
    <w:link w:val="paragraph"/>
    <w:locked/>
    <w:rsid w:val="009F18C1"/>
    <w:rPr>
      <w:sz w:val="24"/>
      <w:szCs w:val="24"/>
      <w:lang w:val="fr-ML" w:eastAsia="fr-M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customStyle="1" w:styleId="section">
    <w:name w:val="section"/>
    <w:rsid w:val="0070089A"/>
    <w:rPr>
      <w:rFonts w:ascii="Arial" w:eastAsia="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8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procurement@unfpa.org" TargetMode="Externa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hyperlink" Target="mailto:ginprocurement@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about-us"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a7L/FPgZV1Fq5ZtRXe90dB3pw==">AMUW2mWwovHM8NTtH/H/UcMWobQYUOBu+ZR3f4rCYmyGajtm1pWw9Ek4ZFBBZ1SK5og2ePHhomXElJ0D3V77J21Hv8USrf7FKAVkwUVGLVSBGBeXGe3jdo4sjY58MlO8YJyn4NhKw7xI8/PRXzzg7wmb/d8y3mLC38P1yeeEmBh1sy269iv1/yG9/GPsaY3ateZCFuOnyVfC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4560</Words>
  <Characters>25084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hadiatoulaye.barry</cp:lastModifiedBy>
  <cp:revision>5</cp:revision>
  <dcterms:created xsi:type="dcterms:W3CDTF">2022-10-21T15:34:00Z</dcterms:created>
  <dcterms:modified xsi:type="dcterms:W3CDTF">2022-10-21T16:47:00Z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