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61"/>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2D55AD" w:rsidRPr="002D55AD" w:rsidTr="002D55AD">
        <w:trPr>
          <w:trHeight w:val="1142"/>
        </w:trPr>
        <w:tc>
          <w:tcPr>
            <w:tcW w:w="4996" w:type="dxa"/>
          </w:tcPr>
          <w:p w:rsidR="002D55AD" w:rsidRPr="002D55AD" w:rsidRDefault="002D55AD" w:rsidP="002D55AD">
            <w:pPr>
              <w:tabs>
                <w:tab w:val="center" w:pos="4320"/>
                <w:tab w:val="right" w:pos="8640"/>
              </w:tabs>
              <w:rPr>
                <w:rFonts w:ascii="Times" w:hAnsi="Times" w:cs="Arial"/>
                <w:sz w:val="24"/>
                <w:szCs w:val="22"/>
              </w:rPr>
            </w:pPr>
            <w:r w:rsidRPr="002D55AD">
              <w:rPr>
                <w:rFonts w:ascii="Times" w:hAnsi="Times"/>
                <w:noProof/>
                <w:sz w:val="24"/>
                <w:lang w:val="en-US"/>
              </w:rPr>
              <w:drawing>
                <wp:inline distT="0" distB="0" distL="0" distR="0">
                  <wp:extent cx="1627505" cy="863600"/>
                  <wp:effectExtent l="0" t="0" r="0" b="0"/>
                  <wp:docPr id="21" name="Picture 2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878" cy="863798"/>
                          </a:xfrm>
                          <a:prstGeom prst="rect">
                            <a:avLst/>
                          </a:prstGeom>
                          <a:noFill/>
                          <a:ln>
                            <a:noFill/>
                          </a:ln>
                        </pic:spPr>
                      </pic:pic>
                    </a:graphicData>
                  </a:graphic>
                </wp:inline>
              </w:drawing>
            </w:r>
          </w:p>
        </w:tc>
        <w:tc>
          <w:tcPr>
            <w:tcW w:w="4994" w:type="dxa"/>
          </w:tcPr>
          <w:p w:rsidR="002D55AD" w:rsidRPr="002D55AD" w:rsidRDefault="002D55AD" w:rsidP="002D55AD">
            <w:pPr>
              <w:tabs>
                <w:tab w:val="center" w:pos="4320"/>
                <w:tab w:val="right" w:pos="8640"/>
              </w:tabs>
              <w:jc w:val="both"/>
              <w:rPr>
                <w:rFonts w:ascii="Calibri" w:hAnsi="Calibri" w:cs="Arial"/>
                <w:sz w:val="18"/>
                <w:szCs w:val="18"/>
              </w:rPr>
            </w:pPr>
            <w:r w:rsidRPr="002D55AD">
              <w:rPr>
                <w:rFonts w:ascii="Calibri" w:hAnsi="Calibri" w:cs="Arial"/>
                <w:sz w:val="18"/>
                <w:szCs w:val="18"/>
              </w:rPr>
              <w:tab/>
            </w:r>
          </w:p>
          <w:p w:rsidR="002D55AD" w:rsidRPr="002D55AD" w:rsidRDefault="002D55AD" w:rsidP="002D55AD">
            <w:pPr>
              <w:tabs>
                <w:tab w:val="center" w:pos="4536"/>
                <w:tab w:val="right" w:pos="9072"/>
              </w:tabs>
              <w:overflowPunct w:val="0"/>
              <w:autoSpaceDE w:val="0"/>
              <w:autoSpaceDN w:val="0"/>
              <w:adjustRightInd w:val="0"/>
              <w:textAlignment w:val="baseline"/>
              <w:rPr>
                <w:b/>
                <w:noProof/>
                <w:color w:val="00B0F0"/>
                <w:sz w:val="22"/>
                <w:szCs w:val="22"/>
                <w:lang w:eastAsia="fr-FR"/>
              </w:rPr>
            </w:pPr>
            <w:r w:rsidRPr="002D55AD">
              <w:rPr>
                <w:b/>
                <w:noProof/>
                <w:color w:val="00B0F0"/>
                <w:sz w:val="22"/>
                <w:szCs w:val="22"/>
                <w:lang w:eastAsia="fr-FR"/>
              </w:rPr>
              <w:t>Fonds des Nations Unies pour la Population</w:t>
            </w:r>
          </w:p>
          <w:p w:rsidR="002D55AD" w:rsidRPr="002D55AD" w:rsidRDefault="002D55AD" w:rsidP="002D55AD">
            <w:pPr>
              <w:tabs>
                <w:tab w:val="center" w:pos="4536"/>
                <w:tab w:val="right" w:pos="9072"/>
              </w:tabs>
              <w:overflowPunct w:val="0"/>
              <w:autoSpaceDE w:val="0"/>
              <w:autoSpaceDN w:val="0"/>
              <w:adjustRightInd w:val="0"/>
              <w:textAlignment w:val="baseline"/>
              <w:rPr>
                <w:b/>
                <w:noProof/>
                <w:color w:val="00B0F0"/>
                <w:sz w:val="22"/>
                <w:szCs w:val="22"/>
                <w:lang w:eastAsia="fr-FR"/>
              </w:rPr>
            </w:pPr>
            <w:r w:rsidRPr="002D55AD">
              <w:rPr>
                <w:b/>
                <w:i/>
                <w:noProof/>
                <w:color w:val="00B0F0"/>
                <w:sz w:val="22"/>
                <w:szCs w:val="22"/>
                <w:lang w:eastAsia="fr-FR"/>
              </w:rPr>
              <w:t>Représentation en République de Guinée</w:t>
            </w:r>
            <w:r w:rsidRPr="002D55AD">
              <w:rPr>
                <w:rFonts w:ascii="Calibri" w:hAnsi="Calibri" w:cs="Arial"/>
                <w:sz w:val="18"/>
                <w:szCs w:val="18"/>
              </w:rPr>
              <w:t xml:space="preserve"> </w:t>
            </w:r>
          </w:p>
        </w:tc>
      </w:tr>
    </w:tbl>
    <w:p w:rsidR="002D55AD" w:rsidRDefault="002D55AD" w:rsidP="006358BE">
      <w:pPr>
        <w:tabs>
          <w:tab w:val="left" w:pos="540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rsidR="002D55AD" w:rsidRDefault="002D55AD" w:rsidP="006358BE">
      <w:pPr>
        <w:tabs>
          <w:tab w:val="left" w:pos="5400"/>
        </w:tabs>
        <w:jc w:val="both"/>
        <w:rPr>
          <w:rFonts w:asciiTheme="minorHAnsi" w:hAnsiTheme="minorHAnsi" w:cstheme="minorHAnsi"/>
          <w:sz w:val="24"/>
          <w:szCs w:val="24"/>
        </w:rPr>
      </w:pPr>
    </w:p>
    <w:p w:rsidR="001160D9" w:rsidRPr="006358BE" w:rsidRDefault="002D55AD" w:rsidP="006358BE">
      <w:pPr>
        <w:tabs>
          <w:tab w:val="left" w:pos="5400"/>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7A793C" w:rsidRPr="006358BE">
        <w:rPr>
          <w:rFonts w:asciiTheme="minorHAnsi" w:hAnsiTheme="minorHAnsi" w:cstheme="minorHAnsi"/>
          <w:sz w:val="24"/>
          <w:szCs w:val="24"/>
        </w:rPr>
        <w:t xml:space="preserve">Date : </w:t>
      </w:r>
      <w:r w:rsidR="00037E07">
        <w:rPr>
          <w:rFonts w:asciiTheme="minorHAnsi" w:hAnsiTheme="minorHAnsi" w:cstheme="minorHAnsi"/>
          <w:i/>
          <w:sz w:val="24"/>
          <w:szCs w:val="24"/>
        </w:rPr>
        <w:t>16</w:t>
      </w:r>
      <w:r w:rsidR="004D2E5F" w:rsidRPr="006358BE">
        <w:rPr>
          <w:rFonts w:asciiTheme="minorHAnsi" w:hAnsiTheme="minorHAnsi" w:cstheme="minorHAnsi"/>
          <w:i/>
          <w:sz w:val="24"/>
          <w:szCs w:val="24"/>
        </w:rPr>
        <w:t xml:space="preserve">, </w:t>
      </w:r>
      <w:r w:rsidR="00920053">
        <w:rPr>
          <w:rFonts w:asciiTheme="minorHAnsi" w:hAnsiTheme="minorHAnsi" w:cstheme="minorHAnsi"/>
          <w:i/>
          <w:sz w:val="24"/>
          <w:szCs w:val="24"/>
        </w:rPr>
        <w:t>Février</w:t>
      </w:r>
      <w:r w:rsidR="007A793C" w:rsidRPr="006358BE">
        <w:rPr>
          <w:rFonts w:asciiTheme="minorHAnsi" w:hAnsiTheme="minorHAnsi" w:cstheme="minorHAnsi"/>
          <w:i/>
          <w:sz w:val="24"/>
          <w:szCs w:val="24"/>
        </w:rPr>
        <w:t xml:space="preserve">, </w:t>
      </w:r>
      <w:r w:rsidR="00920053">
        <w:rPr>
          <w:rFonts w:asciiTheme="minorHAnsi" w:hAnsiTheme="minorHAnsi" w:cstheme="minorHAnsi"/>
          <w:i/>
          <w:sz w:val="24"/>
          <w:szCs w:val="24"/>
        </w:rPr>
        <w:t>2022</w:t>
      </w:r>
    </w:p>
    <w:p w:rsidR="001160D9" w:rsidRPr="006358BE" w:rsidRDefault="001160D9" w:rsidP="006358BE">
      <w:pPr>
        <w:tabs>
          <w:tab w:val="left" w:pos="0"/>
          <w:tab w:val="right" w:pos="1980"/>
          <w:tab w:val="left" w:pos="2160"/>
          <w:tab w:val="left" w:pos="4320"/>
        </w:tabs>
        <w:jc w:val="both"/>
        <w:rPr>
          <w:rFonts w:asciiTheme="minorHAnsi" w:hAnsiTheme="minorHAnsi" w:cstheme="minorHAnsi"/>
          <w:b/>
          <w:sz w:val="24"/>
          <w:szCs w:val="24"/>
        </w:rPr>
      </w:pPr>
    </w:p>
    <w:p w:rsidR="001160D9" w:rsidRPr="006358BE" w:rsidRDefault="007A793C" w:rsidP="002D55AD">
      <w:pPr>
        <w:pStyle w:val="Caption"/>
        <w:ind w:left="2880" w:firstLine="720"/>
        <w:jc w:val="both"/>
        <w:rPr>
          <w:rFonts w:asciiTheme="minorHAnsi" w:hAnsiTheme="minorHAnsi" w:cstheme="minorHAnsi"/>
          <w:sz w:val="24"/>
          <w:szCs w:val="24"/>
        </w:rPr>
      </w:pPr>
      <w:r w:rsidRPr="006358BE">
        <w:rPr>
          <w:rFonts w:asciiTheme="minorHAnsi" w:hAnsiTheme="minorHAnsi" w:cstheme="minorHAnsi"/>
          <w:sz w:val="24"/>
          <w:szCs w:val="24"/>
        </w:rPr>
        <w:t xml:space="preserve">DEMANDE DE </w:t>
      </w:r>
      <w:r w:rsidR="00277D19" w:rsidRPr="006358BE">
        <w:rPr>
          <w:rFonts w:asciiTheme="minorHAnsi" w:hAnsiTheme="minorHAnsi" w:cstheme="minorHAnsi"/>
          <w:sz w:val="24"/>
          <w:szCs w:val="24"/>
        </w:rPr>
        <w:t>COTATION</w:t>
      </w:r>
    </w:p>
    <w:p w:rsidR="002D55AD" w:rsidRDefault="002D55AD" w:rsidP="006358BE">
      <w:pPr>
        <w:pStyle w:val="Caption"/>
        <w:jc w:val="both"/>
        <w:rPr>
          <w:rFonts w:asciiTheme="minorHAnsi" w:hAnsiTheme="minorHAnsi" w:cstheme="minorHAnsi"/>
          <w:sz w:val="24"/>
          <w:szCs w:val="24"/>
        </w:rPr>
      </w:pPr>
    </w:p>
    <w:p w:rsidR="00307B7A" w:rsidRPr="00A21F9B" w:rsidRDefault="002D55AD" w:rsidP="006358BE">
      <w:pPr>
        <w:pStyle w:val="Caption"/>
        <w:jc w:val="both"/>
        <w:rPr>
          <w:rFonts w:asciiTheme="minorHAnsi" w:hAnsiTheme="minorHAnsi" w:cstheme="minorHAnsi"/>
          <w:sz w:val="24"/>
          <w:szCs w:val="24"/>
          <w:lang w:val="en-US"/>
        </w:rPr>
      </w:pPr>
      <w:r w:rsidRPr="00A21F9B">
        <w:rPr>
          <w:rFonts w:asciiTheme="minorHAnsi" w:hAnsiTheme="minorHAnsi" w:cstheme="minorHAnsi"/>
          <w:sz w:val="24"/>
          <w:szCs w:val="24"/>
          <w:lang w:val="en-US"/>
        </w:rPr>
        <w:t xml:space="preserve">                                                             </w:t>
      </w:r>
      <w:r w:rsidR="007A793C" w:rsidRPr="00A21F9B">
        <w:rPr>
          <w:rFonts w:asciiTheme="minorHAnsi" w:hAnsiTheme="minorHAnsi" w:cstheme="minorHAnsi"/>
          <w:sz w:val="24"/>
          <w:szCs w:val="24"/>
          <w:lang w:val="en-US"/>
        </w:rPr>
        <w:t xml:space="preserve">RFQ Nº </w:t>
      </w:r>
      <w:bookmarkStart w:id="0" w:name="__UnoMark__6169_135150849"/>
      <w:bookmarkStart w:id="1" w:name="__UnoMark__6133_135150849"/>
      <w:bookmarkStart w:id="2" w:name="__UnoMark__6097_135150849"/>
      <w:bookmarkStart w:id="3" w:name="__UnoMark__6061_135150849"/>
      <w:bookmarkStart w:id="4" w:name="__UnoMark__6025_135150849"/>
      <w:bookmarkStart w:id="5" w:name="__UnoMark__5989_135150849"/>
      <w:bookmarkStart w:id="6" w:name="__UnoMark__5953_135150849"/>
      <w:bookmarkStart w:id="7" w:name="__UnoMark__5917_135150849"/>
      <w:r w:rsidR="007A793C" w:rsidRPr="00A21F9B">
        <w:rPr>
          <w:rFonts w:asciiTheme="minorHAnsi" w:hAnsiTheme="minorHAnsi" w:cstheme="minorHAnsi"/>
          <w:sz w:val="24"/>
          <w:szCs w:val="24"/>
          <w:lang w:val="en-US"/>
        </w:rPr>
        <w:t>UNFPA</w:t>
      </w:r>
      <w:bookmarkEnd w:id="0"/>
      <w:bookmarkEnd w:id="1"/>
      <w:bookmarkEnd w:id="2"/>
      <w:bookmarkEnd w:id="3"/>
      <w:bookmarkEnd w:id="4"/>
      <w:bookmarkEnd w:id="5"/>
      <w:bookmarkEnd w:id="6"/>
      <w:bookmarkEnd w:id="7"/>
      <w:r w:rsidR="007A793C" w:rsidRPr="00A21F9B">
        <w:rPr>
          <w:rFonts w:asciiTheme="minorHAnsi" w:hAnsiTheme="minorHAnsi" w:cstheme="minorHAnsi"/>
          <w:sz w:val="24"/>
          <w:szCs w:val="24"/>
          <w:lang w:val="en-US"/>
        </w:rPr>
        <w:t>/</w:t>
      </w:r>
      <w:r w:rsidR="004D2E5F" w:rsidRPr="00A21F9B">
        <w:rPr>
          <w:rFonts w:asciiTheme="minorHAnsi" w:hAnsiTheme="minorHAnsi" w:cstheme="minorHAnsi"/>
          <w:sz w:val="24"/>
          <w:szCs w:val="24"/>
          <w:lang w:val="en-US"/>
        </w:rPr>
        <w:t>GIN</w:t>
      </w:r>
      <w:r w:rsidR="007A793C" w:rsidRPr="00A21F9B">
        <w:rPr>
          <w:rFonts w:asciiTheme="minorHAnsi" w:hAnsiTheme="minorHAnsi" w:cstheme="minorHAnsi"/>
          <w:sz w:val="24"/>
          <w:szCs w:val="24"/>
          <w:lang w:val="en-US"/>
        </w:rPr>
        <w:t>/</w:t>
      </w:r>
      <w:bookmarkStart w:id="8" w:name="__UnoMark__12247_135150849"/>
      <w:bookmarkStart w:id="9" w:name="__UnoMark__12203_135150849"/>
      <w:bookmarkStart w:id="10" w:name="__UnoMark__12159_135150849"/>
      <w:bookmarkStart w:id="11" w:name="__UnoMark__12115_135150849"/>
      <w:bookmarkStart w:id="12" w:name="__UnoMark__12071_135150849"/>
      <w:bookmarkStart w:id="13" w:name="__UnoMark__12027_135150849"/>
      <w:bookmarkStart w:id="14" w:name="__UnoMark__11983_135150849"/>
      <w:bookmarkStart w:id="15" w:name="__UnoMark__11939_135150849"/>
      <w:bookmarkStart w:id="16" w:name="__UnoMark__11895_135150849"/>
      <w:bookmarkStart w:id="17" w:name="__UnoMark__11851_135150849"/>
      <w:bookmarkStart w:id="18" w:name="__UnoMark__11807_135150849"/>
      <w:bookmarkStart w:id="19" w:name="__UnoMark__11763_135150849"/>
      <w:r w:rsidR="007A793C" w:rsidRPr="00A21F9B">
        <w:rPr>
          <w:rFonts w:asciiTheme="minorHAnsi" w:hAnsiTheme="minorHAnsi" w:cstheme="minorHAnsi"/>
          <w:sz w:val="24"/>
          <w:szCs w:val="24"/>
          <w:lang w:val="en-US"/>
        </w:rPr>
        <w:t>RFQ</w:t>
      </w:r>
      <w:bookmarkEnd w:id="8"/>
      <w:bookmarkEnd w:id="9"/>
      <w:bookmarkEnd w:id="10"/>
      <w:bookmarkEnd w:id="11"/>
      <w:bookmarkEnd w:id="12"/>
      <w:bookmarkEnd w:id="13"/>
      <w:bookmarkEnd w:id="14"/>
      <w:bookmarkEnd w:id="15"/>
      <w:bookmarkEnd w:id="16"/>
      <w:bookmarkEnd w:id="17"/>
      <w:bookmarkEnd w:id="18"/>
      <w:bookmarkEnd w:id="19"/>
      <w:r w:rsidR="007A793C" w:rsidRPr="00A21F9B">
        <w:rPr>
          <w:rFonts w:asciiTheme="minorHAnsi" w:hAnsiTheme="minorHAnsi" w:cstheme="minorHAnsi"/>
          <w:sz w:val="24"/>
          <w:szCs w:val="24"/>
          <w:lang w:val="en-US"/>
        </w:rPr>
        <w:t>/</w:t>
      </w:r>
      <w:r w:rsidR="00B8285C" w:rsidRPr="00A21F9B">
        <w:rPr>
          <w:rFonts w:asciiTheme="minorHAnsi" w:hAnsiTheme="minorHAnsi" w:cstheme="minorHAnsi"/>
          <w:sz w:val="24"/>
          <w:szCs w:val="24"/>
          <w:lang w:val="en-US"/>
        </w:rPr>
        <w:t>22</w:t>
      </w:r>
      <w:r w:rsidR="007A793C" w:rsidRPr="00A21F9B">
        <w:rPr>
          <w:rFonts w:asciiTheme="minorHAnsi" w:hAnsiTheme="minorHAnsi" w:cstheme="minorHAnsi"/>
          <w:sz w:val="24"/>
          <w:szCs w:val="24"/>
          <w:lang w:val="en-US"/>
        </w:rPr>
        <w:t>/</w:t>
      </w:r>
      <w:r w:rsidR="004D2E5F" w:rsidRPr="00A21F9B">
        <w:rPr>
          <w:rFonts w:asciiTheme="minorHAnsi" w:hAnsiTheme="minorHAnsi" w:cstheme="minorHAnsi"/>
          <w:sz w:val="24"/>
          <w:szCs w:val="24"/>
          <w:lang w:val="en-US"/>
        </w:rPr>
        <w:t>0</w:t>
      </w:r>
      <w:r w:rsidR="00B8285C" w:rsidRPr="00A21F9B">
        <w:rPr>
          <w:rFonts w:asciiTheme="minorHAnsi" w:hAnsiTheme="minorHAnsi" w:cstheme="minorHAnsi"/>
          <w:sz w:val="24"/>
          <w:szCs w:val="24"/>
          <w:lang w:val="en-US"/>
        </w:rPr>
        <w:t>2</w:t>
      </w:r>
      <w:r w:rsidR="007A793C" w:rsidRPr="00A21F9B">
        <w:rPr>
          <w:rFonts w:asciiTheme="minorHAnsi" w:hAnsiTheme="minorHAnsi" w:cstheme="minorHAnsi"/>
          <w:sz w:val="24"/>
          <w:szCs w:val="24"/>
          <w:lang w:val="en-US"/>
        </w:rPr>
        <w:t xml:space="preserve"> </w:t>
      </w:r>
      <w:bookmarkStart w:id="20" w:name="_GoBack"/>
      <w:bookmarkEnd w:id="20"/>
    </w:p>
    <w:p w:rsidR="001160D9" w:rsidRPr="00A21F9B" w:rsidRDefault="001160D9" w:rsidP="006358BE">
      <w:pPr>
        <w:jc w:val="both"/>
        <w:rPr>
          <w:rFonts w:asciiTheme="minorHAnsi" w:hAnsiTheme="minorHAnsi" w:cstheme="minorHAnsi"/>
          <w:sz w:val="24"/>
          <w:szCs w:val="24"/>
          <w:lang w:val="en-US"/>
        </w:rPr>
      </w:pPr>
    </w:p>
    <w:p w:rsidR="001160D9" w:rsidRPr="006358BE" w:rsidRDefault="007A793C" w:rsidP="006358BE">
      <w:pPr>
        <w:pStyle w:val="letter"/>
        <w:jc w:val="both"/>
        <w:rPr>
          <w:rFonts w:asciiTheme="minorHAnsi" w:eastAsia="Calibri" w:hAnsiTheme="minorHAnsi" w:cstheme="minorHAnsi"/>
          <w:szCs w:val="24"/>
        </w:rPr>
      </w:pPr>
      <w:r w:rsidRPr="006358BE">
        <w:rPr>
          <w:rFonts w:asciiTheme="minorHAnsi" w:eastAsia="Calibri" w:hAnsiTheme="minorHAnsi" w:cstheme="minorHAnsi"/>
          <w:szCs w:val="24"/>
        </w:rPr>
        <w:t>Madame, Monsieur,</w:t>
      </w:r>
    </w:p>
    <w:p w:rsidR="001160D9" w:rsidRPr="006358BE" w:rsidRDefault="001160D9" w:rsidP="006358BE">
      <w:pPr>
        <w:pStyle w:val="letter"/>
        <w:jc w:val="both"/>
        <w:rPr>
          <w:rFonts w:asciiTheme="minorHAnsi" w:eastAsia="Calibri" w:hAnsiTheme="minorHAnsi" w:cstheme="minorHAnsi"/>
          <w:szCs w:val="24"/>
        </w:rPr>
      </w:pPr>
    </w:p>
    <w:p w:rsidR="001160D9" w:rsidRPr="006358BE" w:rsidRDefault="007A793C" w:rsidP="006358BE">
      <w:pPr>
        <w:pStyle w:val="letter"/>
        <w:jc w:val="both"/>
        <w:rPr>
          <w:rFonts w:asciiTheme="minorHAnsi" w:eastAsia="Calibri" w:hAnsiTheme="minorHAnsi" w:cstheme="minorHAnsi"/>
          <w:szCs w:val="24"/>
        </w:rPr>
      </w:pPr>
      <w:r w:rsidRPr="006358BE">
        <w:rPr>
          <w:rFonts w:asciiTheme="minorHAnsi" w:eastAsia="Calibri" w:hAnsiTheme="minorHAnsi" w:cstheme="minorHAnsi"/>
          <w:szCs w:val="24"/>
        </w:rPr>
        <w:t>L’UNFPA sollicite par la présente un</w:t>
      </w:r>
      <w:r w:rsidR="00277D19" w:rsidRPr="006358BE">
        <w:rPr>
          <w:rFonts w:asciiTheme="minorHAnsi" w:eastAsia="Calibri" w:hAnsiTheme="minorHAnsi" w:cstheme="minorHAnsi"/>
          <w:szCs w:val="24"/>
        </w:rPr>
        <w:t>e cotation</w:t>
      </w:r>
      <w:r w:rsidR="004D2E5F" w:rsidRPr="006358BE">
        <w:rPr>
          <w:rFonts w:asciiTheme="minorHAnsi" w:eastAsia="Calibri" w:hAnsiTheme="minorHAnsi" w:cstheme="minorHAnsi"/>
          <w:szCs w:val="24"/>
        </w:rPr>
        <w:t xml:space="preserve"> pour la fourniture du service ci-dessous</w:t>
      </w:r>
      <w:r w:rsidRPr="006358BE">
        <w:rPr>
          <w:rFonts w:asciiTheme="minorHAnsi" w:eastAsia="Calibri" w:hAnsiTheme="minorHAnsi" w:cstheme="minorHAnsi"/>
          <w:szCs w:val="24"/>
        </w:rPr>
        <w:t> :</w:t>
      </w:r>
    </w:p>
    <w:p w:rsidR="004D2E5F" w:rsidRPr="006358BE" w:rsidRDefault="004D2E5F" w:rsidP="006358BE">
      <w:pPr>
        <w:jc w:val="both"/>
        <w:rPr>
          <w:rFonts w:asciiTheme="minorHAnsi" w:hAnsiTheme="minorHAnsi" w:cstheme="minorHAnsi"/>
          <w:sz w:val="24"/>
          <w:szCs w:val="24"/>
        </w:rPr>
      </w:pPr>
    </w:p>
    <w:p w:rsidR="00920053" w:rsidRPr="006358BE" w:rsidRDefault="00E102CC" w:rsidP="00BF7CC4">
      <w:pPr>
        <w:jc w:val="both"/>
        <w:rPr>
          <w:rFonts w:asciiTheme="minorHAnsi" w:hAnsiTheme="minorHAnsi" w:cstheme="minorHAnsi"/>
          <w:b/>
          <w:sz w:val="24"/>
          <w:szCs w:val="24"/>
        </w:rPr>
      </w:pPr>
      <w:r w:rsidRPr="006358BE">
        <w:rPr>
          <w:rFonts w:asciiTheme="minorHAnsi" w:eastAsia="Calibri" w:hAnsiTheme="minorHAnsi" w:cstheme="minorHAnsi"/>
          <w:b/>
          <w:sz w:val="24"/>
          <w:szCs w:val="24"/>
        </w:rPr>
        <w:t xml:space="preserve">« </w:t>
      </w:r>
      <w:r w:rsidR="00920053">
        <w:rPr>
          <w:rFonts w:asciiTheme="minorHAnsi" w:eastAsia="Calibri" w:hAnsiTheme="minorHAnsi" w:cstheme="minorHAnsi"/>
          <w:b/>
          <w:sz w:val="24"/>
          <w:szCs w:val="24"/>
        </w:rPr>
        <w:t xml:space="preserve">Vérification ponctuelle (Spot Check) </w:t>
      </w:r>
      <w:r w:rsidR="0084159D">
        <w:rPr>
          <w:rFonts w:asciiTheme="minorHAnsi" w:eastAsia="Calibri" w:hAnsiTheme="minorHAnsi" w:cstheme="minorHAnsi"/>
          <w:b/>
          <w:sz w:val="24"/>
          <w:szCs w:val="24"/>
        </w:rPr>
        <w:t>des documents financiers des activités mises en œuvre par les Partenaires d’exécution de l’UNFPA pour l’</w:t>
      </w:r>
      <w:r w:rsidR="00BF7CC4">
        <w:rPr>
          <w:rFonts w:asciiTheme="minorHAnsi" w:eastAsia="Calibri" w:hAnsiTheme="minorHAnsi" w:cstheme="minorHAnsi"/>
          <w:b/>
          <w:sz w:val="24"/>
          <w:szCs w:val="24"/>
        </w:rPr>
        <w:t>année 2021»</w:t>
      </w:r>
    </w:p>
    <w:p w:rsidR="004D2E5F" w:rsidRPr="006358BE" w:rsidRDefault="004D2E5F" w:rsidP="006358BE">
      <w:pPr>
        <w:jc w:val="both"/>
        <w:rPr>
          <w:rFonts w:asciiTheme="minorHAnsi" w:hAnsiTheme="minorHAnsi" w:cstheme="minorHAnsi"/>
          <w:sz w:val="24"/>
          <w:szCs w:val="24"/>
        </w:rPr>
      </w:pPr>
    </w:p>
    <w:p w:rsidR="001160D9" w:rsidRDefault="007A793C" w:rsidP="006358BE">
      <w:pPr>
        <w:jc w:val="both"/>
        <w:rPr>
          <w:rFonts w:asciiTheme="minorHAnsi" w:hAnsiTheme="minorHAnsi" w:cstheme="minorHAnsi"/>
          <w:sz w:val="24"/>
          <w:szCs w:val="24"/>
        </w:rPr>
      </w:pPr>
      <w:r w:rsidRPr="006358BE">
        <w:rPr>
          <w:rFonts w:asciiTheme="minorHAnsi" w:eastAsia="Calibri" w:hAnsiTheme="minorHAnsi" w:cstheme="minorHAnsi"/>
          <w:sz w:val="24"/>
          <w:szCs w:val="24"/>
        </w:rPr>
        <w:t>Cette Deman</w:t>
      </w:r>
      <w:r w:rsidR="004D2E5F" w:rsidRPr="006358BE">
        <w:rPr>
          <w:rFonts w:asciiTheme="minorHAnsi" w:eastAsia="Calibri" w:hAnsiTheme="minorHAnsi" w:cstheme="minorHAnsi"/>
          <w:sz w:val="24"/>
          <w:szCs w:val="24"/>
        </w:rPr>
        <w:t>de de devis est ouverte à tous les cabinets d’étude</w:t>
      </w:r>
      <w:r w:rsidRPr="006358BE">
        <w:rPr>
          <w:rFonts w:asciiTheme="minorHAnsi" w:eastAsia="Calibri" w:hAnsiTheme="minorHAnsi" w:cstheme="minorHAnsi"/>
          <w:sz w:val="24"/>
          <w:szCs w:val="24"/>
        </w:rPr>
        <w:t xml:space="preserve"> légalement constituées en</w:t>
      </w:r>
      <w:r w:rsidR="004D2E5F" w:rsidRPr="006358BE">
        <w:rPr>
          <w:rFonts w:asciiTheme="minorHAnsi" w:eastAsia="Calibri" w:hAnsiTheme="minorHAnsi" w:cstheme="minorHAnsi"/>
          <w:sz w:val="24"/>
          <w:szCs w:val="24"/>
        </w:rPr>
        <w:t xml:space="preserve"> République de Guinée en</w:t>
      </w:r>
      <w:r w:rsidRPr="006358BE">
        <w:rPr>
          <w:rFonts w:asciiTheme="minorHAnsi" w:eastAsia="Calibri" w:hAnsiTheme="minorHAnsi" w:cstheme="minorHAnsi"/>
          <w:sz w:val="24"/>
          <w:szCs w:val="24"/>
        </w:rPr>
        <w:t xml:space="preserve"> mesure de fournir les services</w:t>
      </w:r>
      <w:r w:rsidR="004D2E5F" w:rsidRPr="006358BE">
        <w:rPr>
          <w:rFonts w:asciiTheme="minorHAnsi" w:eastAsia="Calibri" w:hAnsiTheme="minorHAnsi" w:cstheme="minorHAnsi"/>
          <w:sz w:val="24"/>
          <w:szCs w:val="24"/>
        </w:rPr>
        <w:t xml:space="preserve"> </w:t>
      </w:r>
      <w:r w:rsidRPr="006358BE">
        <w:rPr>
          <w:rFonts w:asciiTheme="minorHAnsi" w:eastAsia="Calibri" w:hAnsiTheme="minorHAnsi" w:cstheme="minorHAnsi"/>
          <w:sz w:val="24"/>
          <w:szCs w:val="24"/>
        </w:rPr>
        <w:t>et qui disposent de la capacité juridique pour exercer dans le pays ou par l’intermédiaire d’un représentant agréé</w:t>
      </w:r>
      <w:r w:rsidRPr="006358BE">
        <w:rPr>
          <w:rFonts w:asciiTheme="minorHAnsi" w:hAnsiTheme="minorHAnsi" w:cstheme="minorHAnsi"/>
          <w:sz w:val="24"/>
          <w:szCs w:val="24"/>
        </w:rPr>
        <w:t>.</w:t>
      </w:r>
      <w:r w:rsidR="0041042B" w:rsidRPr="006358BE">
        <w:rPr>
          <w:rFonts w:asciiTheme="minorHAnsi" w:hAnsiTheme="minorHAnsi" w:cstheme="minorHAnsi"/>
          <w:sz w:val="24"/>
          <w:szCs w:val="24"/>
        </w:rPr>
        <w:t xml:space="preserve"> </w:t>
      </w:r>
    </w:p>
    <w:p w:rsidR="002D55AD" w:rsidRPr="006358BE" w:rsidRDefault="002D55AD" w:rsidP="006358BE">
      <w:pPr>
        <w:jc w:val="both"/>
        <w:rPr>
          <w:rFonts w:asciiTheme="minorHAnsi" w:hAnsiTheme="minorHAnsi" w:cstheme="minorHAnsi"/>
          <w:sz w:val="24"/>
          <w:szCs w:val="24"/>
        </w:rPr>
      </w:pPr>
    </w:p>
    <w:p w:rsidR="001160D9"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À propos de l’UNFPA</w:t>
      </w:r>
    </w:p>
    <w:p w:rsidR="002D55AD" w:rsidRPr="006358BE" w:rsidRDefault="002D55AD" w:rsidP="002D55AD">
      <w:pPr>
        <w:pStyle w:val="ListParagraph"/>
        <w:ind w:left="360"/>
        <w:jc w:val="both"/>
        <w:rPr>
          <w:rFonts w:asciiTheme="minorHAnsi" w:hAnsiTheme="minorHAnsi" w:cstheme="minorHAnsi"/>
          <w:b/>
          <w:sz w:val="24"/>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L’UNFPA, le Fonds des Nations Unies pour la </w:t>
      </w:r>
      <w:r w:rsidR="00FA46B3" w:rsidRPr="006358BE">
        <w:rPr>
          <w:rFonts w:asciiTheme="minorHAnsi" w:hAnsiTheme="minorHAnsi" w:cstheme="minorHAnsi"/>
          <w:szCs w:val="24"/>
        </w:rPr>
        <w:t>P</w:t>
      </w:r>
      <w:r w:rsidRPr="006358BE">
        <w:rPr>
          <w:rFonts w:asciiTheme="minorHAnsi" w:hAnsiTheme="minorHAnsi" w:cstheme="minorHAnsi"/>
          <w:szCs w:val="24"/>
        </w:rPr>
        <w:t xml:space="preserve">opulation, est une agence internationale de développement </w:t>
      </w:r>
      <w:r w:rsidRPr="006358BE">
        <w:rPr>
          <w:rFonts w:asciiTheme="minorHAnsi" w:hAnsiTheme="minorHAnsi" w:cstheme="minorHAnsi"/>
          <w:szCs w:val="24"/>
          <w:shd w:val="clear" w:color="auto" w:fill="FFFFFF"/>
        </w:rPr>
        <w:t>dont le but est de réaliser un monde où chaque grossesse est désirée, chaque accouchement est sans danger, et le potentiel de chaque jeune est accompli.</w:t>
      </w:r>
      <w:r w:rsidRPr="006358BE">
        <w:rPr>
          <w:rFonts w:asciiTheme="minorHAnsi" w:hAnsiTheme="minorHAnsi" w:cstheme="minorHAnsi"/>
          <w:szCs w:val="24"/>
        </w:rPr>
        <w:t xml:space="preserve">   </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L’UNFPA est la principale </w:t>
      </w:r>
      <w:r w:rsidR="0030303F" w:rsidRPr="006358BE">
        <w:rPr>
          <w:rFonts w:asciiTheme="minorHAnsi" w:hAnsiTheme="minorHAnsi" w:cstheme="minorHAnsi"/>
          <w:szCs w:val="24"/>
        </w:rPr>
        <w:t xml:space="preserve">Agence </w:t>
      </w:r>
      <w:r w:rsidRPr="006358BE">
        <w:rPr>
          <w:rFonts w:asciiTheme="minorHAnsi" w:hAnsiTheme="minorHAnsi" w:cstheme="minorHAnsi"/>
          <w:szCs w:val="24"/>
        </w:rPr>
        <w:t xml:space="preserve">des Nations Unies qui </w:t>
      </w:r>
      <w:r w:rsidRPr="006358BE">
        <w:rPr>
          <w:rFonts w:asciiTheme="minorHAnsi" w:hAnsiTheme="minorHAnsi" w:cstheme="minorHAnsi"/>
          <w:szCs w:val="24"/>
          <w:shd w:val="clear" w:color="auto" w:fill="FFFFFF"/>
        </w:rPr>
        <w:t>permet aux femmes et aux jeunes d’avoir une vie sexuelle et reproductive saine.</w:t>
      </w:r>
      <w:r w:rsidRPr="006358BE">
        <w:rPr>
          <w:rFonts w:asciiTheme="minorHAnsi" w:hAnsiTheme="minorHAnsi" w:cstheme="minorHAnsi"/>
          <w:szCs w:val="24"/>
        </w:rPr>
        <w:t xml:space="preserve"> Pour en savoir plus au sujet de l’UNFPA, veuillez visiter : </w:t>
      </w:r>
      <w:hyperlink r:id="rId12">
        <w:r w:rsidRPr="006358BE">
          <w:rPr>
            <w:rStyle w:val="InternetLink"/>
            <w:rFonts w:asciiTheme="minorHAnsi" w:hAnsiTheme="minorHAnsi" w:cstheme="minorHAnsi"/>
            <w:color w:val="auto"/>
            <w:szCs w:val="24"/>
          </w:rPr>
          <w:t>À propos de l’UNFPA.</w:t>
        </w:r>
      </w:hyperlink>
    </w:p>
    <w:p w:rsidR="001160D9" w:rsidRPr="006358BE" w:rsidRDefault="001160D9" w:rsidP="006358BE">
      <w:pPr>
        <w:pStyle w:val="letter"/>
        <w:jc w:val="both"/>
        <w:rPr>
          <w:rFonts w:asciiTheme="minorHAnsi" w:hAnsiTheme="minorHAnsi" w:cstheme="minorHAnsi"/>
          <w:szCs w:val="24"/>
          <w:highlight w:val="cyan"/>
        </w:rPr>
      </w:pPr>
    </w:p>
    <w:p w:rsidR="00CE421F" w:rsidRPr="00732347" w:rsidRDefault="002D55AD" w:rsidP="00CE421F">
      <w:pPr>
        <w:pStyle w:val="ListParagraph"/>
        <w:numPr>
          <w:ilvl w:val="0"/>
          <w:numId w:val="6"/>
        </w:numPr>
        <w:jc w:val="both"/>
        <w:rPr>
          <w:rFonts w:asciiTheme="minorHAnsi" w:hAnsiTheme="minorHAnsi" w:cstheme="minorHAnsi"/>
          <w:b/>
          <w:sz w:val="24"/>
          <w:szCs w:val="24"/>
        </w:rPr>
      </w:pPr>
      <w:r w:rsidRPr="00732347">
        <w:rPr>
          <w:rFonts w:asciiTheme="minorHAnsi" w:hAnsiTheme="minorHAnsi" w:cstheme="minorHAnsi"/>
          <w:b/>
          <w:sz w:val="24"/>
          <w:szCs w:val="24"/>
        </w:rPr>
        <w:t>CAHIER DES CHARGES</w:t>
      </w:r>
    </w:p>
    <w:p w:rsidR="00732347" w:rsidRDefault="00732347" w:rsidP="00732347">
      <w:pPr>
        <w:pStyle w:val="ListParagraph"/>
        <w:ind w:left="360"/>
        <w:jc w:val="both"/>
        <w:rPr>
          <w:rFonts w:asciiTheme="minorHAnsi" w:hAnsiTheme="minorHAnsi" w:cstheme="minorHAnsi"/>
          <w:b/>
          <w:sz w:val="24"/>
          <w:szCs w:val="24"/>
          <w:highlight w:val="yellow"/>
        </w:rPr>
      </w:pPr>
    </w:p>
    <w:p w:rsidR="00732347" w:rsidRDefault="00732347" w:rsidP="00732347">
      <w:pPr>
        <w:pStyle w:val="ListParagraph"/>
        <w:ind w:left="360"/>
        <w:jc w:val="both"/>
        <w:rPr>
          <w:rFonts w:asciiTheme="minorHAnsi" w:hAnsiTheme="minorHAnsi" w:cstheme="minorHAnsi"/>
          <w:b/>
          <w:sz w:val="24"/>
          <w:szCs w:val="24"/>
        </w:rPr>
      </w:pPr>
      <w:r>
        <w:rPr>
          <w:rFonts w:asciiTheme="minorHAnsi" w:hAnsiTheme="minorHAnsi" w:cstheme="minorHAnsi"/>
          <w:b/>
          <w:sz w:val="24"/>
          <w:szCs w:val="24"/>
        </w:rPr>
        <w:t>I</w:t>
      </w:r>
      <w:r w:rsidRPr="00732347">
        <w:rPr>
          <w:rFonts w:asciiTheme="minorHAnsi" w:hAnsiTheme="minorHAnsi" w:cstheme="minorHAnsi"/>
          <w:b/>
          <w:sz w:val="24"/>
          <w:szCs w:val="24"/>
          <w:u w:val="single"/>
        </w:rPr>
        <w:t>. Contexte et justification :</w:t>
      </w:r>
    </w:p>
    <w:p w:rsidR="00732347" w:rsidRPr="00732347" w:rsidRDefault="00732347" w:rsidP="00732347">
      <w:pPr>
        <w:pStyle w:val="ListParagraph"/>
        <w:ind w:left="360"/>
        <w:jc w:val="both"/>
        <w:rPr>
          <w:rFonts w:asciiTheme="minorHAnsi" w:hAnsiTheme="minorHAnsi" w:cstheme="minorHAnsi"/>
          <w:b/>
          <w:sz w:val="24"/>
          <w:szCs w:val="24"/>
        </w:rPr>
      </w:pPr>
    </w:p>
    <w:p w:rsidR="00732347" w:rsidRP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 xml:space="preserve">I.Contexte et justification </w:t>
      </w:r>
    </w:p>
    <w:p w:rsidR="00732347" w:rsidRP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 xml:space="preserve">Dans le cadre de l’évaluation des activités misent en œuvre par les partenaires d’exécution (PE) avec lesquels l’UNFPA a signé des partenariats, des vérifications périodiques sont planifiées pour s’assurer de l’exactitude des documents financiers concernant les fonds mis à la disposition de ces partenaires. Cette vérification est une activité nécessaire pour tous les bureaux de UNFPA pour lesquels les partenaires d’exécution (PE) ont obtenu un transfert de fonds de plus de 50 000 USD avec un niveau de risque élevé ou significatif et plus de 100 000 USD avec un niveau de risque faible ou modéré au cours d’une même année.  C’est une activité qui donne une </w:t>
      </w:r>
      <w:r w:rsidRPr="00732347">
        <w:rPr>
          <w:rFonts w:asciiTheme="minorHAnsi" w:hAnsiTheme="minorHAnsi" w:cstheme="minorHAnsi"/>
          <w:sz w:val="24"/>
          <w:szCs w:val="24"/>
        </w:rPr>
        <w:lastRenderedPageBreak/>
        <w:t xml:space="preserve">assurance à UNFPA par rapport au respect des procédures dans l’utilisation des fonds transférés à ces partenaires. </w:t>
      </w:r>
    </w:p>
    <w:p w:rsid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Pour réaliser cette vérification ponctuelle (spot check) l’UNFPA souhaite faire appel aux services d’un cabinet d’audit légalement constituées en République de Guinée en mesure de fournir les services et qui disposent de la capacité juridique pour exercer dans le pays ou par l’intermédiaire d’un représentant agréé.</w:t>
      </w:r>
      <w:r>
        <w:rPr>
          <w:rFonts w:asciiTheme="minorHAnsi" w:hAnsiTheme="minorHAnsi" w:cstheme="minorHAnsi"/>
          <w:sz w:val="24"/>
          <w:szCs w:val="24"/>
        </w:rPr>
        <w:t xml:space="preserve"> </w:t>
      </w:r>
    </w:p>
    <w:p w:rsidR="00732347" w:rsidRDefault="00732347" w:rsidP="00732347">
      <w:pPr>
        <w:pStyle w:val="ListParagraph"/>
        <w:ind w:left="360"/>
        <w:jc w:val="both"/>
        <w:rPr>
          <w:rFonts w:asciiTheme="minorHAnsi" w:hAnsiTheme="minorHAnsi" w:cstheme="minorHAnsi"/>
          <w:sz w:val="24"/>
          <w:szCs w:val="24"/>
        </w:rPr>
      </w:pPr>
    </w:p>
    <w:p w:rsid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II.Objectif général :</w:t>
      </w:r>
    </w:p>
    <w:p w:rsidR="00732347" w:rsidRDefault="00732347" w:rsidP="00732347">
      <w:pPr>
        <w:pStyle w:val="ListParagraph"/>
        <w:ind w:left="360"/>
        <w:jc w:val="both"/>
        <w:rPr>
          <w:rFonts w:asciiTheme="minorHAnsi" w:hAnsiTheme="minorHAnsi" w:cstheme="minorHAnsi"/>
          <w:sz w:val="24"/>
          <w:szCs w:val="24"/>
          <w:u w:val="single"/>
        </w:rPr>
      </w:pPr>
    </w:p>
    <w:p w:rsidR="00732347" w:rsidRP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 xml:space="preserve"> </w:t>
      </w:r>
      <w:r w:rsidRPr="00732347">
        <w:rPr>
          <w:rFonts w:asciiTheme="minorHAnsi" w:hAnsiTheme="minorHAnsi" w:cstheme="minorHAnsi"/>
          <w:sz w:val="24"/>
          <w:szCs w:val="24"/>
        </w:rPr>
        <w:t>l’objectif général visé par cette activité est de donner une assurance à UNFPA du respect des procédures dans la mise en œuvre des différentes activités pour lesquelles les partenaires d’exécution (PE) ont bénéficié des fonds.</w:t>
      </w:r>
    </w:p>
    <w:p w:rsidR="00732347" w:rsidRDefault="00732347" w:rsidP="00732347">
      <w:pPr>
        <w:pStyle w:val="ListParagraph"/>
        <w:ind w:left="360"/>
        <w:jc w:val="both"/>
        <w:rPr>
          <w:rFonts w:asciiTheme="minorHAnsi" w:hAnsiTheme="minorHAnsi" w:cstheme="minorHAnsi"/>
          <w:sz w:val="24"/>
          <w:szCs w:val="24"/>
        </w:rPr>
      </w:pPr>
    </w:p>
    <w:p w:rsid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u w:val="single"/>
        </w:rPr>
        <w:t>III.Objectifs</w:t>
      </w:r>
      <w:r w:rsidRPr="00732347">
        <w:rPr>
          <w:rFonts w:asciiTheme="minorHAnsi" w:hAnsiTheme="minorHAnsi" w:cstheme="minorHAnsi"/>
          <w:sz w:val="24"/>
          <w:szCs w:val="24"/>
        </w:rPr>
        <w:t xml:space="preserve"> : </w:t>
      </w:r>
    </w:p>
    <w:p w:rsid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ce travail permettra d’atteindre les objectifs spécifiques suivants :</w:t>
      </w:r>
    </w:p>
    <w:p w:rsidR="00732347" w:rsidRP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 xml:space="preserve">-Faire des entretiens sur les changements des procédures du contrôle interne et de son application ; </w:t>
      </w: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-Vérifier des rapprochements bancaires des différents partenaires ;</w:t>
      </w: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-Vérifier un échantillon d’au moins 15% des dépenses effectuées par les partenaires ;</w:t>
      </w: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-Discuter des résultats obtenus avec la Direction des partenaires ;</w:t>
      </w:r>
    </w:p>
    <w:p w:rsid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-Déterminer des actions de suivi des recommandations assorties.</w:t>
      </w:r>
    </w:p>
    <w:p w:rsid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IV. Normes :</w:t>
      </w:r>
    </w:p>
    <w:p w:rsidR="00732347" w:rsidRPr="00732347" w:rsidRDefault="00732347" w:rsidP="00732347">
      <w:pPr>
        <w:pStyle w:val="ListParagraph"/>
        <w:ind w:left="360"/>
        <w:jc w:val="both"/>
        <w:rPr>
          <w:rFonts w:asciiTheme="minorHAnsi" w:hAnsiTheme="minorHAnsi" w:cstheme="minorHAnsi"/>
          <w:sz w:val="24"/>
          <w:szCs w:val="24"/>
        </w:rPr>
      </w:pPr>
    </w:p>
    <w:p w:rsid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La mission d’attestation doit être réalisée conformément à l’ISRS 4400, Agreed upon Procedures Regarding Financial Information.</w:t>
      </w:r>
    </w:p>
    <w:p w:rsid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V. Procédures de vérifications ponctuelles ( Spot Check):</w:t>
      </w:r>
    </w:p>
    <w:p w:rsidR="00732347" w:rsidRP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Consulter le guide de vérification ponctuelle (spot check) de l’UNFPA en annexe.</w:t>
      </w:r>
    </w:p>
    <w:p w:rsidR="00732347" w:rsidRP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u w:val="single"/>
        </w:rPr>
      </w:pPr>
      <w:r w:rsidRPr="00732347">
        <w:rPr>
          <w:rFonts w:asciiTheme="minorHAnsi" w:hAnsiTheme="minorHAnsi" w:cstheme="minorHAnsi"/>
          <w:sz w:val="24"/>
          <w:szCs w:val="24"/>
          <w:u w:val="single"/>
        </w:rPr>
        <w:t>VI. Méthodologie :</w:t>
      </w:r>
    </w:p>
    <w:p w:rsidR="00732347" w:rsidRPr="00732347" w:rsidRDefault="00732347" w:rsidP="00732347">
      <w:pPr>
        <w:pStyle w:val="ListParagraph"/>
        <w:ind w:left="360"/>
        <w:jc w:val="both"/>
        <w:rPr>
          <w:rFonts w:asciiTheme="minorHAnsi" w:hAnsiTheme="minorHAnsi" w:cstheme="minorHAnsi"/>
          <w:sz w:val="24"/>
          <w:szCs w:val="24"/>
        </w:rPr>
      </w:pPr>
    </w:p>
    <w:p w:rsidR="00732347" w:rsidRPr="00732347" w:rsidRDefault="00732347" w:rsidP="00732347">
      <w:pPr>
        <w:pStyle w:val="ListParagraph"/>
        <w:ind w:left="360"/>
        <w:jc w:val="both"/>
        <w:rPr>
          <w:rFonts w:asciiTheme="minorHAnsi" w:hAnsiTheme="minorHAnsi" w:cstheme="minorHAnsi"/>
          <w:sz w:val="24"/>
          <w:szCs w:val="24"/>
        </w:rPr>
      </w:pPr>
      <w:r w:rsidRPr="00732347">
        <w:rPr>
          <w:rFonts w:asciiTheme="minorHAnsi" w:hAnsiTheme="minorHAnsi" w:cstheme="minorHAnsi"/>
          <w:sz w:val="24"/>
          <w:szCs w:val="24"/>
        </w:rPr>
        <w:t>La méthodologie utilisée est participative et inclusive. Les vérificateurs auront des séances de travail avec les différentes directions des partenaires sur les procédures de contrôle internes en place et travailleront avec leurs services comptables et financiers pour les autres travaux. Ils se réuniront également pour le partage des constats réalisés pour discussion et apport de solution.</w:t>
      </w:r>
    </w:p>
    <w:p w:rsidR="00732347" w:rsidRDefault="00732347" w:rsidP="00732347">
      <w:pPr>
        <w:pStyle w:val="ListParagraph"/>
        <w:ind w:left="360"/>
        <w:jc w:val="both"/>
        <w:rPr>
          <w:rFonts w:asciiTheme="minorHAnsi" w:hAnsiTheme="minorHAnsi" w:cstheme="minorHAnsi"/>
          <w:sz w:val="24"/>
          <w:szCs w:val="24"/>
          <w:highlight w:val="yellow"/>
        </w:rPr>
      </w:pPr>
    </w:p>
    <w:p w:rsidR="009B39CA" w:rsidRPr="009B39CA" w:rsidRDefault="009B39CA" w:rsidP="009B39CA">
      <w:pPr>
        <w:pStyle w:val="ListParagraph"/>
        <w:ind w:left="360"/>
        <w:jc w:val="both"/>
        <w:rPr>
          <w:rFonts w:asciiTheme="minorHAnsi" w:hAnsiTheme="minorHAnsi" w:cstheme="minorHAnsi"/>
          <w:sz w:val="24"/>
          <w:szCs w:val="24"/>
          <w:u w:val="single"/>
        </w:rPr>
      </w:pPr>
      <w:r w:rsidRPr="009B39CA">
        <w:rPr>
          <w:rFonts w:asciiTheme="minorHAnsi" w:hAnsiTheme="minorHAnsi" w:cstheme="minorHAnsi"/>
          <w:sz w:val="24"/>
          <w:szCs w:val="24"/>
          <w:u w:val="single"/>
        </w:rPr>
        <w:t>VII. Produits livrables</w:t>
      </w:r>
      <w:r>
        <w:rPr>
          <w:rFonts w:asciiTheme="minorHAnsi" w:hAnsiTheme="minorHAnsi" w:cstheme="minorHAnsi"/>
          <w:sz w:val="24"/>
          <w:szCs w:val="24"/>
          <w:u w:val="single"/>
        </w:rPr>
        <w:t> :</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 xml:space="preserve">Le cabinet prépare le rapport de mission en complétant les annexes ci-dessous :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1. Annexe A:  Checklist de vérification ponctuelle</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lastRenderedPageBreak/>
        <w:t xml:space="preserve">2. Annex B: Rapport sur la vérification ponctuelle </w:t>
      </w:r>
    </w:p>
    <w:p w:rsid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3. Annex C: Document de la vérification des dépenses</w:t>
      </w:r>
    </w:p>
    <w:p w:rsid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u w:val="single"/>
        </w:rPr>
      </w:pPr>
      <w:r w:rsidRPr="009B39CA">
        <w:rPr>
          <w:rFonts w:asciiTheme="minorHAnsi" w:hAnsiTheme="minorHAnsi" w:cstheme="minorHAnsi"/>
          <w:sz w:val="24"/>
          <w:szCs w:val="24"/>
          <w:u w:val="single"/>
        </w:rPr>
        <w:t>VIII. Durée de la mission et Chronogramme</w:t>
      </w:r>
      <w:r>
        <w:rPr>
          <w:rFonts w:asciiTheme="minorHAnsi" w:hAnsiTheme="minorHAnsi" w:cstheme="minorHAnsi"/>
          <w:sz w:val="24"/>
          <w:szCs w:val="24"/>
          <w:u w:val="single"/>
        </w:rPr>
        <w:t> :</w:t>
      </w:r>
    </w:p>
    <w:p w:rsidR="009B39CA" w:rsidRPr="009B39CA" w:rsidRDefault="009B39CA" w:rsidP="009B39CA">
      <w:pPr>
        <w:pStyle w:val="ListParagraph"/>
        <w:ind w:left="360"/>
        <w:jc w:val="both"/>
        <w:rPr>
          <w:rFonts w:asciiTheme="minorHAnsi" w:hAnsiTheme="minorHAnsi" w:cstheme="minorHAnsi"/>
          <w:sz w:val="24"/>
          <w:szCs w:val="24"/>
          <w:u w:val="single"/>
        </w:rPr>
      </w:pPr>
    </w:p>
    <w:p w:rsid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La durée de la mission couvre une période de 45 jours ouvrables. Elle démarre à la signature du contrat et s’achève au dépôt du dernier Livrable dans les 45 jours</w:t>
      </w:r>
    </w:p>
    <w:p w:rsid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u w:val="single"/>
        </w:rPr>
      </w:pPr>
      <w:r w:rsidRPr="009B39CA">
        <w:rPr>
          <w:rFonts w:asciiTheme="minorHAnsi" w:hAnsiTheme="minorHAnsi" w:cstheme="minorHAnsi"/>
          <w:sz w:val="24"/>
          <w:szCs w:val="24"/>
          <w:u w:val="single"/>
        </w:rPr>
        <w:t>XIX.Qualifications du cabinet :</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Ainsi que l’énonce le paragraphe 7 de la norme ISRS 4400 : « L’auditeur doit respecter le Code of Ethics for Professional Accountants publié par l’International Ethics Standards Board for accountants (le code de l’IESBA). Les principes d’éthique régissant les responsabilités professionnelles du cabinet pour ce type de mission sont les suivants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(a)</w:t>
      </w:r>
      <w:r w:rsidRPr="009B39CA">
        <w:rPr>
          <w:rFonts w:asciiTheme="minorHAnsi" w:hAnsiTheme="minorHAnsi" w:cstheme="minorHAnsi"/>
          <w:sz w:val="24"/>
          <w:szCs w:val="24"/>
        </w:rPr>
        <w:tab/>
        <w:t>intégrité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(b)</w:t>
      </w:r>
      <w:r w:rsidRPr="009B39CA">
        <w:rPr>
          <w:rFonts w:asciiTheme="minorHAnsi" w:hAnsiTheme="minorHAnsi" w:cstheme="minorHAnsi"/>
          <w:sz w:val="24"/>
          <w:szCs w:val="24"/>
        </w:rPr>
        <w:tab/>
        <w:t xml:space="preserve">objectivité ;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(c)</w:t>
      </w:r>
      <w:r w:rsidRPr="009B39CA">
        <w:rPr>
          <w:rFonts w:asciiTheme="minorHAnsi" w:hAnsiTheme="minorHAnsi" w:cstheme="minorHAnsi"/>
          <w:sz w:val="24"/>
          <w:szCs w:val="24"/>
        </w:rPr>
        <w:tab/>
        <w:t>compétence et conscience professionnelle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(d)</w:t>
      </w:r>
      <w:r w:rsidRPr="009B39CA">
        <w:rPr>
          <w:rFonts w:asciiTheme="minorHAnsi" w:hAnsiTheme="minorHAnsi" w:cstheme="minorHAnsi"/>
          <w:sz w:val="24"/>
          <w:szCs w:val="24"/>
        </w:rPr>
        <w:tab/>
        <w:t>confidentialité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(e)</w:t>
      </w:r>
      <w:r w:rsidRPr="009B39CA">
        <w:rPr>
          <w:rFonts w:asciiTheme="minorHAnsi" w:hAnsiTheme="minorHAnsi" w:cstheme="minorHAnsi"/>
          <w:sz w:val="24"/>
          <w:szCs w:val="24"/>
        </w:rPr>
        <w:tab/>
        <w:t xml:space="preserve">comportement professionnel ; et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(f)</w:t>
      </w:r>
      <w:r w:rsidRPr="009B39CA">
        <w:rPr>
          <w:rFonts w:asciiTheme="minorHAnsi" w:hAnsiTheme="minorHAnsi" w:cstheme="minorHAnsi"/>
          <w:sz w:val="24"/>
          <w:szCs w:val="24"/>
        </w:rPr>
        <w:tab/>
        <w:t>respect des normes techniques.</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L’indépendance n’est pas une exigence pour effectuer une mission d’application de procédures convenues ; toutefois, les termes ou les objectifs de la mission ou les normes nationales, peuvent imposer que l’auditeur se conforme aux règles d’indépendance du Code de l’IESBA. Lorsque l’auditeur n’est pas indépendant, une mention doit en être faite dans le rapport sur les constatations de fait.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Le prestataire de services tiers devrait posséder une bonne expérience de l’application des normes ISRS. S’il engage du personnel, le prestataire de services ne devrait recruter qu’un personnel possédant des</w:t>
      </w:r>
      <w:r>
        <w:rPr>
          <w:rFonts w:asciiTheme="minorHAnsi" w:hAnsiTheme="minorHAnsi" w:cstheme="minorHAnsi"/>
          <w:sz w:val="24"/>
          <w:szCs w:val="24"/>
        </w:rPr>
        <w:t xml:space="preserve"> </w:t>
      </w:r>
      <w:r w:rsidRPr="009B39CA">
        <w:rPr>
          <w:rFonts w:asciiTheme="minorHAnsi" w:hAnsiTheme="minorHAnsi" w:cstheme="minorHAnsi"/>
          <w:sz w:val="24"/>
          <w:szCs w:val="24"/>
        </w:rPr>
        <w:t>qualifications professionnelles reconnues et une expérience adéquate des normes ISRS, y compris une expérience en matière de vérification d’entités similaires.</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Les CV de l’ensemble des membres de l’équipe d’évaluation devraient être fournis. Ils devraient inclure des détails sur les missions d’application de procédures convenues effectuées par les membres du personnel concernés, y compris sur les missions en cours, en indiquant les responsabilités assumées par chacun et leurs qualifications et expérience en matière de mission d’application de procédures convenues.</w:t>
      </w:r>
    </w:p>
    <w:p w:rsid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Les politiques d’achat des Nations Unies et propres à chaque institution (le cas échéant) devraient s’appliquer à l’engagement des prestataires de services tiers.</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u w:val="single"/>
        </w:rPr>
      </w:pPr>
      <w:r w:rsidRPr="009B39CA">
        <w:rPr>
          <w:rFonts w:asciiTheme="minorHAnsi" w:hAnsiTheme="minorHAnsi" w:cstheme="minorHAnsi"/>
          <w:sz w:val="24"/>
          <w:szCs w:val="24"/>
          <w:u w:val="single"/>
        </w:rPr>
        <w:t>X.Eléments à fournis par l’UNFPA et le partenaire d’exécution (PE) :</w:t>
      </w:r>
    </w:p>
    <w:p w:rsidR="009B39CA" w:rsidRPr="009B39CA" w:rsidRDefault="009B39CA" w:rsidP="009B39CA">
      <w:pPr>
        <w:pStyle w:val="ListParagraph"/>
        <w:ind w:left="360"/>
        <w:jc w:val="both"/>
        <w:rPr>
          <w:rFonts w:asciiTheme="minorHAnsi" w:hAnsiTheme="minorHAnsi" w:cstheme="minorHAnsi"/>
          <w:sz w:val="24"/>
          <w:szCs w:val="24"/>
        </w:rPr>
      </w:pPr>
    </w:p>
    <w:p w:rsid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Le cabinet recevra la documentation suivante avant d’entamer le travail sur le terrain :</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w:t>
      </w:r>
      <w:r w:rsidRPr="009B39CA">
        <w:rPr>
          <w:rFonts w:asciiTheme="minorHAnsi" w:hAnsiTheme="minorHAnsi" w:cstheme="minorHAnsi"/>
          <w:sz w:val="24"/>
          <w:szCs w:val="24"/>
        </w:rPr>
        <w:tab/>
        <w:t>Le plan de travail et avenant soumis au cours de l’année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lastRenderedPageBreak/>
        <w:t>•</w:t>
      </w:r>
      <w:r w:rsidRPr="009B39CA">
        <w:rPr>
          <w:rFonts w:asciiTheme="minorHAnsi" w:hAnsiTheme="minorHAnsi" w:cstheme="minorHAnsi"/>
          <w:sz w:val="24"/>
          <w:szCs w:val="24"/>
        </w:rPr>
        <w:tab/>
        <w:t xml:space="preserve">Une liste des transactions individuelles du PE (c’est-à-dire, les documents comptables), y compris un résumé des versements et les formulaires FACE soumis au cours de la période sélectionnée aux fins d’évaluation ;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w:t>
      </w:r>
      <w:r w:rsidRPr="009B39CA">
        <w:rPr>
          <w:rFonts w:asciiTheme="minorHAnsi" w:hAnsiTheme="minorHAnsi" w:cstheme="minorHAnsi"/>
          <w:sz w:val="24"/>
          <w:szCs w:val="24"/>
        </w:rPr>
        <w:tab/>
        <w:t xml:space="preserve">Une liste des constatations de la micro évaluation du PE, les derniers rapports de spots checks et / ou d’audit </w:t>
      </w:r>
    </w:p>
    <w:p w:rsid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Afin de garantir une utilisation efficace du temps disponible, le cabinet devrait examiner les informations reçues et fournir au Partenaire d’Exécution (PE), avant toute visite sur place, une liste des documents qu’il souhaite consulter. </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u w:val="single"/>
        </w:rPr>
      </w:pPr>
      <w:r w:rsidRPr="009B39CA">
        <w:rPr>
          <w:rFonts w:asciiTheme="minorHAnsi" w:hAnsiTheme="minorHAnsi" w:cstheme="minorHAnsi"/>
          <w:sz w:val="24"/>
          <w:szCs w:val="24"/>
          <w:u w:val="single"/>
        </w:rPr>
        <w:t>XI.Les Critères d’évaluations :</w:t>
      </w:r>
    </w:p>
    <w:p w:rsidR="009B39CA" w:rsidRPr="009B39CA" w:rsidRDefault="009B39CA" w:rsidP="009B39CA">
      <w:pPr>
        <w:pStyle w:val="ListParagraph"/>
        <w:ind w:left="360"/>
        <w:jc w:val="both"/>
        <w:rPr>
          <w:rFonts w:asciiTheme="minorHAnsi" w:hAnsiTheme="minorHAnsi" w:cstheme="minorHAnsi"/>
          <w:sz w:val="24"/>
          <w:szCs w:val="24"/>
        </w:rPr>
      </w:pP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Les cabinets intéressés devront soumettre une offre technique et une offre financière. L’évaluation des offres se déroule en deux temps. L’évaluation des propositions techniques est achevée avant l’ouverture et la comparaison des propositions financières ;</w:t>
      </w:r>
    </w:p>
    <w:p w:rsidR="009B39CA" w:rsidRPr="009B39CA" w:rsidRDefault="009B39CA" w:rsidP="009B39CA">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La proposition technique sera évaluée sur son degré de réponse par rapport aux termes de référence et sur la base des critères suivants :</w:t>
      </w:r>
    </w:p>
    <w:p w:rsidR="009B39CA" w:rsidRPr="00732347" w:rsidRDefault="009B39CA" w:rsidP="009B39CA">
      <w:pPr>
        <w:pStyle w:val="ListParagraph"/>
        <w:ind w:left="360"/>
        <w:jc w:val="both"/>
        <w:rPr>
          <w:rFonts w:asciiTheme="minorHAnsi" w:hAnsiTheme="minorHAnsi" w:cstheme="minorHAnsi"/>
          <w:sz w:val="24"/>
          <w:szCs w:val="24"/>
          <w:highlight w:val="yellow"/>
        </w:rPr>
      </w:pPr>
    </w:p>
    <w:tbl>
      <w:tblPr>
        <w:tblW w:w="9615" w:type="dxa"/>
        <w:tblInd w:w="18" w:type="dxa"/>
        <w:tblLayout w:type="fixed"/>
        <w:tblCellMar>
          <w:left w:w="10" w:type="dxa"/>
          <w:right w:w="10" w:type="dxa"/>
        </w:tblCellMar>
        <w:tblLook w:val="04A0" w:firstRow="1" w:lastRow="0" w:firstColumn="1" w:lastColumn="0" w:noHBand="0" w:noVBand="1"/>
      </w:tblPr>
      <w:tblGrid>
        <w:gridCol w:w="589"/>
        <w:gridCol w:w="6901"/>
        <w:gridCol w:w="1843"/>
        <w:gridCol w:w="282"/>
      </w:tblGrid>
      <w:tr w:rsidR="009B39CA" w:rsidRPr="009B39CA" w:rsidTr="006E4883">
        <w:trPr>
          <w:gridAfter w:val="1"/>
          <w:wAfter w:w="282" w:type="dxa"/>
          <w:cantSplit/>
          <w:trHeight w:val="458"/>
        </w:trPr>
        <w:tc>
          <w:tcPr>
            <w:tcW w:w="74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b/>
                <w:bCs/>
                <w:sz w:val="24"/>
                <w:szCs w:val="24"/>
              </w:rPr>
            </w:pPr>
            <w:r w:rsidRPr="009B39CA">
              <w:rPr>
                <w:b/>
                <w:bCs/>
                <w:sz w:val="24"/>
                <w:szCs w:val="24"/>
              </w:rPr>
              <w:t>Récapitulatif des formulaires d’évaluation des Propositions techniques</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b/>
                <w:bCs/>
                <w:sz w:val="24"/>
                <w:szCs w:val="24"/>
                <w:lang w:val="en-US"/>
              </w:rPr>
            </w:pPr>
            <w:r w:rsidRPr="009B39CA">
              <w:rPr>
                <w:b/>
                <w:bCs/>
                <w:sz w:val="24"/>
                <w:szCs w:val="24"/>
                <w:lang w:val="en-US"/>
              </w:rPr>
              <w:t>Note Maximum</w:t>
            </w:r>
          </w:p>
        </w:tc>
      </w:tr>
      <w:tr w:rsidR="009B39CA" w:rsidRPr="009B39CA" w:rsidTr="006E4883">
        <w:trPr>
          <w:cantSplit/>
          <w:trHeight w:val="244"/>
        </w:trPr>
        <w:tc>
          <w:tcPr>
            <w:tcW w:w="7490" w:type="dxa"/>
            <w:gridSpan w:val="2"/>
            <w:vMerge/>
            <w:tcBorders>
              <w:top w:val="single" w:sz="4" w:space="0" w:color="00000A"/>
              <w:left w:val="single" w:sz="4" w:space="0" w:color="00000A"/>
              <w:bottom w:val="single" w:sz="4" w:space="0" w:color="00000A"/>
              <w:right w:val="single" w:sz="4" w:space="0" w:color="00000A"/>
            </w:tcBorders>
            <w:vAlign w:val="center"/>
            <w:hideMark/>
          </w:tcPr>
          <w:p w:rsidR="009B39CA" w:rsidRPr="009B39CA" w:rsidRDefault="009B39CA" w:rsidP="009B39CA">
            <w:pPr>
              <w:spacing w:before="120" w:after="120" w:line="276" w:lineRule="auto"/>
              <w:jc w:val="both"/>
              <w:outlineLvl w:val="0"/>
              <w:rPr>
                <w:sz w:val="24"/>
                <w:szCs w:val="24"/>
              </w:rPr>
            </w:pPr>
          </w:p>
        </w:tc>
        <w:tc>
          <w:tcPr>
            <w:tcW w:w="1843" w:type="dxa"/>
            <w:vMerge/>
            <w:tcBorders>
              <w:top w:val="single" w:sz="4" w:space="0" w:color="00000A"/>
              <w:left w:val="single" w:sz="4" w:space="0" w:color="00000A"/>
              <w:bottom w:val="single" w:sz="4" w:space="0" w:color="00000A"/>
              <w:right w:val="single" w:sz="4" w:space="0" w:color="00000A"/>
            </w:tcBorders>
            <w:vAlign w:val="center"/>
            <w:hideMark/>
          </w:tcPr>
          <w:p w:rsidR="009B39CA" w:rsidRPr="009B39CA" w:rsidRDefault="009B39CA" w:rsidP="009B39CA">
            <w:pPr>
              <w:spacing w:before="120" w:after="120" w:line="276" w:lineRule="auto"/>
              <w:jc w:val="both"/>
              <w:outlineLvl w:val="0"/>
              <w:rPr>
                <w:sz w:val="24"/>
                <w:szCs w:val="24"/>
                <w:lang w:val="en-US"/>
              </w:rPr>
            </w:pPr>
          </w:p>
        </w:tc>
        <w:tc>
          <w:tcPr>
            <w:tcW w:w="282" w:type="dxa"/>
            <w:vAlign w:val="center"/>
            <w:hideMark/>
          </w:tcPr>
          <w:p w:rsidR="009B39CA" w:rsidRPr="009B39CA" w:rsidRDefault="009B39CA" w:rsidP="009B39CA">
            <w:pPr>
              <w:spacing w:before="120" w:after="120" w:line="276" w:lineRule="auto"/>
              <w:jc w:val="both"/>
              <w:outlineLvl w:val="0"/>
              <w:rPr>
                <w:sz w:val="24"/>
                <w:szCs w:val="24"/>
                <w:lang w:val="en-US"/>
              </w:rPr>
            </w:pPr>
          </w:p>
        </w:tc>
      </w:tr>
      <w:tr w:rsidR="009B39CA" w:rsidRPr="009B39CA" w:rsidTr="006E4883">
        <w:trPr>
          <w:trHeight w:val="447"/>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w:t>
            </w:r>
          </w:p>
        </w:tc>
        <w:tc>
          <w:tcPr>
            <w:tcW w:w="6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rPr>
            </w:pPr>
            <w:r w:rsidRPr="009B39CA">
              <w:rPr>
                <w:sz w:val="24"/>
                <w:szCs w:val="24"/>
              </w:rPr>
              <w:t xml:space="preserve">Expertise de la structure chargé du spot check, attestée par son expérience, ses réalisations antérieures, ses ressources internes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50</w:t>
            </w:r>
          </w:p>
        </w:tc>
        <w:tc>
          <w:tcPr>
            <w:tcW w:w="282" w:type="dxa"/>
            <w:vAlign w:val="center"/>
            <w:hideMark/>
          </w:tcPr>
          <w:p w:rsidR="009B39CA" w:rsidRPr="009B39CA" w:rsidRDefault="009B39CA" w:rsidP="009B39CA">
            <w:pPr>
              <w:spacing w:before="120" w:after="120" w:line="276" w:lineRule="auto"/>
              <w:jc w:val="both"/>
              <w:outlineLvl w:val="0"/>
              <w:rPr>
                <w:sz w:val="24"/>
                <w:szCs w:val="24"/>
              </w:rPr>
            </w:pPr>
          </w:p>
        </w:tc>
      </w:tr>
      <w:tr w:rsidR="009B39CA" w:rsidRPr="009B39CA" w:rsidTr="006E4883">
        <w:trPr>
          <w:trHeight w:val="365"/>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2.</w:t>
            </w:r>
          </w:p>
        </w:tc>
        <w:tc>
          <w:tcPr>
            <w:tcW w:w="6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rPr>
            </w:pPr>
            <w:r w:rsidRPr="009B39CA">
              <w:rPr>
                <w:sz w:val="24"/>
                <w:szCs w:val="24"/>
              </w:rPr>
              <w:t>Méthodologie utilisée pour garantir la qualité de l’exécution des spots checks et le respect des délais de production des rapports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40</w:t>
            </w:r>
          </w:p>
        </w:tc>
        <w:tc>
          <w:tcPr>
            <w:tcW w:w="282" w:type="dxa"/>
            <w:vAlign w:val="center"/>
            <w:hideMark/>
          </w:tcPr>
          <w:p w:rsidR="009B39CA" w:rsidRPr="009B39CA" w:rsidRDefault="009B39CA" w:rsidP="009B39CA">
            <w:pPr>
              <w:spacing w:before="120" w:after="120" w:line="276" w:lineRule="auto"/>
              <w:jc w:val="both"/>
              <w:outlineLvl w:val="0"/>
              <w:rPr>
                <w:sz w:val="24"/>
                <w:szCs w:val="24"/>
              </w:rPr>
            </w:pPr>
          </w:p>
        </w:tc>
      </w:tr>
      <w:tr w:rsidR="009B39CA" w:rsidRPr="009B39CA" w:rsidTr="006E4883">
        <w:trPr>
          <w:trHeight w:val="57"/>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3.</w:t>
            </w:r>
          </w:p>
        </w:tc>
        <w:tc>
          <w:tcPr>
            <w:tcW w:w="6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rPr>
            </w:pPr>
            <w:r w:rsidRPr="009B39CA">
              <w:rPr>
                <w:sz w:val="24"/>
                <w:szCs w:val="24"/>
              </w:rPr>
              <w:t>Qualifications de la structure et expériences du personnel proposé par rapport à la mission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10</w:t>
            </w:r>
          </w:p>
        </w:tc>
        <w:tc>
          <w:tcPr>
            <w:tcW w:w="282" w:type="dxa"/>
            <w:vAlign w:val="center"/>
            <w:hideMark/>
          </w:tcPr>
          <w:p w:rsidR="009B39CA" w:rsidRPr="009B39CA" w:rsidRDefault="009B39CA" w:rsidP="009B39CA">
            <w:pPr>
              <w:spacing w:before="120" w:after="120" w:line="276" w:lineRule="auto"/>
              <w:jc w:val="both"/>
              <w:outlineLvl w:val="0"/>
              <w:rPr>
                <w:sz w:val="24"/>
                <w:szCs w:val="24"/>
              </w:rPr>
            </w:pPr>
          </w:p>
        </w:tc>
      </w:tr>
      <w:tr w:rsidR="009B39CA" w:rsidRPr="009B39CA" w:rsidTr="006E4883">
        <w:trPr>
          <w:cantSplit/>
          <w:trHeight w:val="57"/>
        </w:trPr>
        <w:tc>
          <w:tcPr>
            <w:tcW w:w="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lang w:val="en-US"/>
              </w:rPr>
            </w:pPr>
          </w:p>
        </w:tc>
        <w:tc>
          <w:tcPr>
            <w:tcW w:w="69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b/>
                <w:bCs/>
                <w:sz w:val="24"/>
                <w:szCs w:val="24"/>
                <w:lang w:val="en-US"/>
              </w:rPr>
            </w:pPr>
            <w:r w:rsidRPr="009B39CA">
              <w:rPr>
                <w:b/>
                <w:bCs/>
                <w:sz w:val="24"/>
                <w:szCs w:val="24"/>
                <w:lang w:val="en-US"/>
              </w:rPr>
              <w:t>Total</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b/>
                <w:bCs/>
                <w:sz w:val="24"/>
                <w:szCs w:val="24"/>
                <w:lang w:val="en-US"/>
              </w:rPr>
            </w:pPr>
            <w:r w:rsidRPr="009B39CA">
              <w:rPr>
                <w:b/>
                <w:bCs/>
                <w:sz w:val="24"/>
                <w:szCs w:val="24"/>
                <w:lang w:val="en-US"/>
              </w:rPr>
              <w:t>100</w:t>
            </w:r>
          </w:p>
        </w:tc>
        <w:tc>
          <w:tcPr>
            <w:tcW w:w="282" w:type="dxa"/>
            <w:vAlign w:val="center"/>
            <w:hideMark/>
          </w:tcPr>
          <w:p w:rsidR="009B39CA" w:rsidRPr="009B39CA" w:rsidRDefault="009B39CA" w:rsidP="009B39CA">
            <w:pPr>
              <w:spacing w:before="120" w:after="120" w:line="276" w:lineRule="auto"/>
              <w:jc w:val="both"/>
              <w:outlineLvl w:val="0"/>
              <w:rPr>
                <w:sz w:val="24"/>
                <w:szCs w:val="24"/>
              </w:rPr>
            </w:pPr>
          </w:p>
        </w:tc>
      </w:tr>
    </w:tbl>
    <w:p w:rsidR="00CE421F" w:rsidRDefault="00CE421F" w:rsidP="00CE421F">
      <w:pPr>
        <w:pStyle w:val="ListParagraph"/>
        <w:ind w:left="360"/>
        <w:jc w:val="both"/>
        <w:rPr>
          <w:rFonts w:asciiTheme="minorHAnsi" w:hAnsiTheme="minorHAnsi" w:cstheme="minorHAnsi"/>
          <w:sz w:val="24"/>
          <w:szCs w:val="24"/>
        </w:rPr>
      </w:pPr>
    </w:p>
    <w:p w:rsidR="009B39CA" w:rsidRDefault="009B39CA" w:rsidP="00CE421F">
      <w:pPr>
        <w:pStyle w:val="ListParagraph"/>
        <w:ind w:left="360"/>
        <w:jc w:val="both"/>
        <w:rPr>
          <w:rFonts w:asciiTheme="minorHAnsi" w:hAnsiTheme="minorHAnsi" w:cstheme="minorHAnsi"/>
          <w:sz w:val="24"/>
          <w:szCs w:val="24"/>
        </w:rPr>
      </w:pPr>
      <w:r w:rsidRPr="009B39CA">
        <w:rPr>
          <w:rFonts w:asciiTheme="minorHAnsi" w:hAnsiTheme="minorHAnsi" w:cstheme="minorHAnsi"/>
          <w:sz w:val="24"/>
          <w:szCs w:val="24"/>
        </w:rPr>
        <w:t>La note maximale spécifiée pour chacun des critères d’évaluation indique l’importance relative ou le coefficient de chaque item dans le contexte du processus d’évaluation globale. Les formulaires d’évaluation de la Proposition technique sont ci-dessous :</w:t>
      </w:r>
    </w:p>
    <w:tbl>
      <w:tblPr>
        <w:tblW w:w="9113" w:type="dxa"/>
        <w:tblInd w:w="-5" w:type="dxa"/>
        <w:tblLayout w:type="fixed"/>
        <w:tblCellMar>
          <w:left w:w="10" w:type="dxa"/>
          <w:right w:w="10" w:type="dxa"/>
        </w:tblCellMar>
        <w:tblLook w:val="04A0" w:firstRow="1" w:lastRow="0" w:firstColumn="1" w:lastColumn="0" w:noHBand="0" w:noVBand="1"/>
      </w:tblPr>
      <w:tblGrid>
        <w:gridCol w:w="644"/>
        <w:gridCol w:w="122"/>
        <w:gridCol w:w="6614"/>
        <w:gridCol w:w="23"/>
        <w:gridCol w:w="1703"/>
        <w:gridCol w:w="7"/>
      </w:tblGrid>
      <w:tr w:rsidR="009B39CA" w:rsidRPr="009B39CA" w:rsidTr="006E4883">
        <w:trPr>
          <w:trHeight w:val="147"/>
        </w:trPr>
        <w:tc>
          <w:tcPr>
            <w:tcW w:w="7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39CA" w:rsidRPr="009B39CA" w:rsidRDefault="009B39CA" w:rsidP="009B39CA">
            <w:pPr>
              <w:spacing w:before="120" w:after="120" w:line="276" w:lineRule="auto"/>
              <w:ind w:firstLine="708"/>
              <w:jc w:val="both"/>
              <w:outlineLvl w:val="0"/>
              <w:rPr>
                <w:sz w:val="24"/>
                <w:szCs w:val="24"/>
              </w:rPr>
            </w:pPr>
            <w:r w:rsidRPr="009B39CA">
              <w:rPr>
                <w:sz w:val="24"/>
                <w:szCs w:val="24"/>
              </w:rPr>
              <w:t>Détail Critère 1 : Expertise de la structure</w:t>
            </w: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Nbre de points maximum</w:t>
            </w:r>
          </w:p>
        </w:tc>
      </w:tr>
      <w:tr w:rsidR="009B39CA" w:rsidRPr="009B39CA" w:rsidTr="006E4883">
        <w:trPr>
          <w:trHeight w:val="147"/>
        </w:trPr>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1.1</w:t>
            </w:r>
          </w:p>
        </w:tc>
        <w:tc>
          <w:tcPr>
            <w:tcW w:w="6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Expertise du cabinet en matière de spot check et/ou d’audit : Au moins 03 ans d’expérience dans le domaine recherché...</w:t>
            </w: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35</w:t>
            </w:r>
          </w:p>
        </w:tc>
      </w:tr>
      <w:tr w:rsidR="009B39CA" w:rsidRPr="009B39CA" w:rsidTr="006E4883">
        <w:trPr>
          <w:trHeight w:val="261"/>
        </w:trPr>
        <w:tc>
          <w:tcPr>
            <w:tcW w:w="7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lastRenderedPageBreak/>
              <w:t>1.2</w:t>
            </w:r>
          </w:p>
        </w:tc>
        <w:tc>
          <w:tcPr>
            <w:tcW w:w="6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Pertinence des expériences dans les missions similaires en Guinée et dans d’autres pays africains (15 points pour expérience en Guinée et 05 points pour les expériences internationales)</w:t>
            </w: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15</w:t>
            </w:r>
          </w:p>
        </w:tc>
      </w:tr>
      <w:tr w:rsidR="009B39CA" w:rsidRPr="009B39CA" w:rsidTr="006E4883">
        <w:trPr>
          <w:trHeight w:val="261"/>
        </w:trPr>
        <w:tc>
          <w:tcPr>
            <w:tcW w:w="7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rPr>
            </w:pPr>
            <w:r w:rsidRPr="009B39CA">
              <w:rPr>
                <w:sz w:val="24"/>
                <w:szCs w:val="24"/>
              </w:rPr>
              <w:t>TOTAL</w:t>
            </w: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50</w:t>
            </w:r>
          </w:p>
        </w:tc>
      </w:tr>
      <w:tr w:rsidR="009B39CA" w:rsidRPr="009B39CA" w:rsidTr="006E4883">
        <w:trPr>
          <w:trHeight w:val="261"/>
        </w:trPr>
        <w:tc>
          <w:tcPr>
            <w:tcW w:w="73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rPr>
            </w:pPr>
            <w:r w:rsidRPr="009B39CA">
              <w:rPr>
                <w:sz w:val="24"/>
                <w:szCs w:val="24"/>
              </w:rPr>
              <w:t>Détail Critère 2 : Méthodologie et Plan de travail</w:t>
            </w:r>
          </w:p>
        </w:tc>
        <w:tc>
          <w:tcPr>
            <w:tcW w:w="173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Nbre de points maximum</w:t>
            </w:r>
          </w:p>
        </w:tc>
      </w:tr>
      <w:tr w:rsidR="009B39CA" w:rsidRPr="009B39CA" w:rsidTr="006E4883">
        <w:trPr>
          <w:gridAfter w:val="1"/>
          <w:wAfter w:w="7" w:type="dxa"/>
          <w:trHeight w:val="294"/>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2.1</w:t>
            </w:r>
          </w:p>
        </w:tc>
        <w:tc>
          <w:tcPr>
            <w:tcW w:w="675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La proposition technique montre-t-elle une compréhension des enjeux concernant l’exécution des différentes taches (TDR)?</w:t>
            </w:r>
          </w:p>
        </w:tc>
        <w:tc>
          <w:tcPr>
            <w:tcW w:w="17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10</w:t>
            </w:r>
          </w:p>
        </w:tc>
      </w:tr>
      <w:tr w:rsidR="009B39CA" w:rsidRPr="009B39CA" w:rsidTr="006E4883">
        <w:trPr>
          <w:gridAfter w:val="1"/>
          <w:wAfter w:w="7" w:type="dxa"/>
          <w:trHeight w:val="388"/>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2.2</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L’équipe des experts est-elle intégrée à la structure (pas de sous-traitance) ? Est-elle suffisante en effectif (au regard des tâches à accomplir) puis organisée comme il se doit pour les accomplir ? Au moins 3 CVs du personnel qualifié travaillant dans le domaine recherché (spot check et/ou audit, …)</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10</w:t>
            </w:r>
          </w:p>
        </w:tc>
      </w:tr>
      <w:tr w:rsidR="009B39CA" w:rsidRPr="009B39CA" w:rsidTr="006E4883">
        <w:trPr>
          <w:gridAfter w:val="1"/>
          <w:wAfter w:w="7" w:type="dxa"/>
          <w:trHeight w:val="196"/>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2.3</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 xml:space="preserve">Le plan d’ensemble d’exécution des tâches est-il cohérent et conforme aux TDRs ? </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5</w:t>
            </w:r>
          </w:p>
        </w:tc>
      </w:tr>
      <w:tr w:rsidR="009B39CA" w:rsidRPr="009B39CA" w:rsidTr="006E4883">
        <w:trPr>
          <w:gridAfter w:val="1"/>
          <w:wAfter w:w="7" w:type="dxa"/>
          <w:trHeight w:val="196"/>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2.4</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rPr>
            </w:pPr>
            <w:r w:rsidRPr="009B39CA">
              <w:rPr>
                <w:sz w:val="24"/>
                <w:szCs w:val="24"/>
              </w:rPr>
              <w:t>Quelles garanties offre le prestataire en termes de respect des délais ? (Avoir démontré sa capacité à travailler dans des délais extrêmement courts et à respecter ces délais)</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15</w:t>
            </w:r>
          </w:p>
        </w:tc>
      </w:tr>
      <w:tr w:rsidR="009B39CA" w:rsidRPr="009B39CA" w:rsidTr="006E4883">
        <w:trPr>
          <w:gridAfter w:val="1"/>
          <w:wAfter w:w="7" w:type="dxa"/>
          <w:trHeight w:val="94"/>
        </w:trPr>
        <w:tc>
          <w:tcPr>
            <w:tcW w:w="74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bCs/>
                <w:sz w:val="24"/>
                <w:szCs w:val="24"/>
                <w:lang w:val="en-US"/>
              </w:rPr>
            </w:pPr>
            <w:r w:rsidRPr="009B39CA">
              <w:rPr>
                <w:b/>
                <w:bCs/>
                <w:sz w:val="24"/>
                <w:szCs w:val="24"/>
                <w:lang w:val="en-US"/>
              </w:rPr>
              <w:t xml:space="preserve">TOTAL </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39CA" w:rsidRPr="009B39CA" w:rsidRDefault="009B39CA" w:rsidP="009B39CA">
            <w:pPr>
              <w:spacing w:before="120" w:after="120" w:line="276" w:lineRule="auto"/>
              <w:jc w:val="both"/>
              <w:outlineLvl w:val="0"/>
              <w:rPr>
                <w:b/>
                <w:bCs/>
                <w:sz w:val="24"/>
                <w:szCs w:val="24"/>
                <w:lang w:val="en-US"/>
              </w:rPr>
            </w:pPr>
            <w:r w:rsidRPr="009B39CA">
              <w:rPr>
                <w:b/>
                <w:bCs/>
                <w:sz w:val="24"/>
                <w:szCs w:val="24"/>
                <w:lang w:val="en-US"/>
              </w:rPr>
              <w:t>40</w:t>
            </w:r>
          </w:p>
        </w:tc>
      </w:tr>
      <w:tr w:rsidR="009B39CA" w:rsidRPr="009B39CA" w:rsidTr="006E4883">
        <w:trPr>
          <w:gridAfter w:val="1"/>
          <w:wAfter w:w="7" w:type="dxa"/>
          <w:trHeight w:val="94"/>
        </w:trPr>
        <w:tc>
          <w:tcPr>
            <w:tcW w:w="74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bCs/>
                <w:sz w:val="24"/>
                <w:szCs w:val="24"/>
              </w:rPr>
            </w:pPr>
            <w:r w:rsidRPr="009B39CA">
              <w:rPr>
                <w:b/>
                <w:bCs/>
                <w:sz w:val="24"/>
                <w:szCs w:val="24"/>
              </w:rPr>
              <w:t>Détail Critère 3: Qualification et Expérience de la Structure</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bCs/>
                <w:sz w:val="24"/>
                <w:szCs w:val="24"/>
              </w:rPr>
            </w:pPr>
            <w:r w:rsidRPr="009B39CA">
              <w:rPr>
                <w:b/>
                <w:bCs/>
                <w:sz w:val="24"/>
                <w:szCs w:val="24"/>
              </w:rPr>
              <w:t>Nbre de points</w:t>
            </w:r>
          </w:p>
        </w:tc>
      </w:tr>
      <w:tr w:rsidR="009B39CA" w:rsidRPr="009B39CA" w:rsidTr="006E4883">
        <w:trPr>
          <w:gridAfter w:val="1"/>
          <w:wAfter w:w="7" w:type="dxa"/>
          <w:trHeight w:val="94"/>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rPr>
            </w:pPr>
            <w:r w:rsidRPr="009B39CA">
              <w:rPr>
                <w:sz w:val="24"/>
                <w:szCs w:val="24"/>
                <w:lang w:val="en-US"/>
              </w:rPr>
              <w:t>3.1</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bCs/>
                <w:sz w:val="24"/>
                <w:szCs w:val="24"/>
              </w:rPr>
            </w:pPr>
            <w:r w:rsidRPr="009B39CA">
              <w:rPr>
                <w:sz w:val="24"/>
                <w:szCs w:val="24"/>
              </w:rPr>
              <w:t xml:space="preserve">Durée d’existence du cabinet d’audit et qualité des prestations : au moins 3 ans et Présentation d’un spot check et/ou audit pour s’assurer de leur qualité.  </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bCs/>
                <w:sz w:val="24"/>
                <w:szCs w:val="24"/>
              </w:rPr>
            </w:pPr>
            <w:r w:rsidRPr="009B39CA">
              <w:rPr>
                <w:sz w:val="24"/>
                <w:szCs w:val="24"/>
                <w:lang w:val="en-US"/>
              </w:rPr>
              <w:t>5</w:t>
            </w:r>
          </w:p>
        </w:tc>
      </w:tr>
      <w:tr w:rsidR="009B39CA" w:rsidRPr="009B39CA" w:rsidTr="006E4883">
        <w:trPr>
          <w:gridAfter w:val="1"/>
          <w:wAfter w:w="7" w:type="dxa"/>
          <w:trHeight w:val="94"/>
        </w:trPr>
        <w:tc>
          <w:tcPr>
            <w:tcW w:w="6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lang w:val="en-US"/>
              </w:rPr>
            </w:pPr>
            <w:r w:rsidRPr="009B39CA">
              <w:rPr>
                <w:sz w:val="24"/>
                <w:szCs w:val="24"/>
                <w:lang w:val="en-US"/>
              </w:rPr>
              <w:t>3.2</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rPr>
            </w:pPr>
            <w:r w:rsidRPr="009B39CA">
              <w:rPr>
                <w:sz w:val="24"/>
                <w:szCs w:val="24"/>
              </w:rPr>
              <w:t>Le nom du prestataire y compris dans le respect de ses engagements – Au moins 03 marchés similaires</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sz w:val="24"/>
                <w:szCs w:val="24"/>
              </w:rPr>
            </w:pPr>
            <w:r w:rsidRPr="009B39CA">
              <w:rPr>
                <w:sz w:val="24"/>
                <w:szCs w:val="24"/>
                <w:lang w:val="en-US"/>
              </w:rPr>
              <w:t>5</w:t>
            </w:r>
          </w:p>
        </w:tc>
      </w:tr>
      <w:tr w:rsidR="009B39CA" w:rsidRPr="009B39CA" w:rsidTr="006E4883">
        <w:trPr>
          <w:gridAfter w:val="1"/>
          <w:wAfter w:w="7" w:type="dxa"/>
          <w:trHeight w:val="94"/>
        </w:trPr>
        <w:tc>
          <w:tcPr>
            <w:tcW w:w="74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sz w:val="24"/>
                <w:szCs w:val="24"/>
              </w:rPr>
            </w:pPr>
            <w:r w:rsidRPr="009B39CA">
              <w:rPr>
                <w:b/>
                <w:sz w:val="24"/>
                <w:szCs w:val="24"/>
              </w:rPr>
              <w:t>TOTAL</w:t>
            </w:r>
          </w:p>
        </w:tc>
        <w:tc>
          <w:tcPr>
            <w:tcW w:w="17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39CA" w:rsidRPr="009B39CA" w:rsidRDefault="009B39CA" w:rsidP="009B39CA">
            <w:pPr>
              <w:spacing w:before="120" w:after="120" w:line="276" w:lineRule="auto"/>
              <w:jc w:val="both"/>
              <w:outlineLvl w:val="0"/>
              <w:rPr>
                <w:b/>
                <w:sz w:val="24"/>
                <w:szCs w:val="24"/>
                <w:lang w:val="en-US"/>
              </w:rPr>
            </w:pPr>
            <w:r w:rsidRPr="009B39CA">
              <w:rPr>
                <w:b/>
                <w:sz w:val="24"/>
                <w:szCs w:val="24"/>
                <w:lang w:val="en-US"/>
              </w:rPr>
              <w:t>10</w:t>
            </w:r>
          </w:p>
        </w:tc>
      </w:tr>
    </w:tbl>
    <w:p w:rsidR="009B39CA" w:rsidRDefault="009B39CA" w:rsidP="00CE421F">
      <w:pPr>
        <w:pStyle w:val="ListParagraph"/>
        <w:ind w:left="360"/>
        <w:jc w:val="both"/>
        <w:rPr>
          <w:rFonts w:asciiTheme="minorHAnsi" w:hAnsiTheme="minorHAnsi" w:cstheme="minorHAnsi"/>
          <w:sz w:val="24"/>
          <w:szCs w:val="24"/>
        </w:rPr>
      </w:pP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Seront jugées qualifiées, les propositions techniques qui obtiendront 70% de la note maximale de 100 point ; cette note technique sera pondérée a 70%.</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 xml:space="preserve">Dans une deuxième étape du processus d’évaluation, les enveloppes financières seront ouvertes et les offres financières comparées. </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 xml:space="preserve">Le marché ou le contrat sera attribué au cabinet suivant les deux (02) options ci-après : </w:t>
      </w:r>
    </w:p>
    <w:p w:rsid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lastRenderedPageBreak/>
        <w:t>1.</w:t>
      </w:r>
      <w:r w:rsidRPr="00551F68">
        <w:rPr>
          <w:rFonts w:asciiTheme="minorHAnsi" w:hAnsiTheme="minorHAnsi" w:cstheme="minorHAnsi"/>
          <w:sz w:val="24"/>
          <w:szCs w:val="24"/>
        </w:rPr>
        <w:tab/>
        <w:t xml:space="preserve">Au Cabinet techniquement qualifié ayant présenté l’offre financière la plus basse parmi les cabinet techniquement qualifiés; Applicables pour les services de support ou de nature relativement simple suivant les exigences des TDRs ; </w:t>
      </w:r>
    </w:p>
    <w:p w:rsidR="00551F68" w:rsidRPr="00551F68" w:rsidRDefault="00551F68" w:rsidP="00551F68">
      <w:pPr>
        <w:pStyle w:val="ListParagraph"/>
        <w:ind w:left="360"/>
        <w:jc w:val="both"/>
        <w:rPr>
          <w:rFonts w:asciiTheme="minorHAnsi" w:hAnsiTheme="minorHAnsi" w:cstheme="minorHAnsi"/>
          <w:sz w:val="24"/>
          <w:szCs w:val="24"/>
        </w:rPr>
      </w:pP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2.</w:t>
      </w:r>
      <w:r w:rsidRPr="00551F68">
        <w:rPr>
          <w:rFonts w:asciiTheme="minorHAnsi" w:hAnsiTheme="minorHAnsi" w:cstheme="minorHAnsi"/>
          <w:sz w:val="24"/>
          <w:szCs w:val="24"/>
        </w:rPr>
        <w:tab/>
        <w:t xml:space="preserve">Au Cabinet ayant présenté le meilleur score combiné - rapport qualité/prix, évaluation cumulative -  (Technique pondérée à 70% + Financière à 30%). Applicable pour les services intellectuels plus complexes suivant les exigences des TDRs; </w:t>
      </w:r>
    </w:p>
    <w:p w:rsid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Cette note financière combinée à 30%  est calculée pour chaque proposition sur la base de la formule suivante : Note financière A = [(Offre financière la moins disante)/Offre financière de A] x 30</w:t>
      </w:r>
    </w:p>
    <w:p w:rsidR="00551F68" w:rsidRPr="00551F68" w:rsidRDefault="00551F68" w:rsidP="00551F68">
      <w:pPr>
        <w:pStyle w:val="ListParagraph"/>
        <w:ind w:left="360"/>
        <w:jc w:val="both"/>
        <w:rPr>
          <w:rFonts w:asciiTheme="minorHAnsi" w:hAnsiTheme="minorHAnsi" w:cstheme="minorHAnsi"/>
          <w:sz w:val="24"/>
          <w:szCs w:val="24"/>
        </w:rPr>
      </w:pPr>
    </w:p>
    <w:p w:rsidR="00551F68" w:rsidRPr="00551F68" w:rsidRDefault="00551F68" w:rsidP="00551F68">
      <w:pPr>
        <w:pStyle w:val="ListParagraph"/>
        <w:ind w:left="360"/>
        <w:jc w:val="both"/>
        <w:rPr>
          <w:rFonts w:asciiTheme="minorHAnsi" w:hAnsiTheme="minorHAnsi" w:cstheme="minorHAnsi"/>
          <w:b/>
          <w:sz w:val="24"/>
          <w:szCs w:val="24"/>
          <w:u w:val="single"/>
        </w:rPr>
      </w:pPr>
      <w:r w:rsidRPr="00551F68">
        <w:rPr>
          <w:rFonts w:asciiTheme="minorHAnsi" w:hAnsiTheme="minorHAnsi" w:cstheme="minorHAnsi"/>
          <w:b/>
          <w:sz w:val="24"/>
          <w:szCs w:val="24"/>
          <w:u w:val="single"/>
        </w:rPr>
        <w:t>Pièces jointes :</w:t>
      </w:r>
    </w:p>
    <w:p w:rsidR="00551F68" w:rsidRPr="00551F68" w:rsidRDefault="00551F68" w:rsidP="00551F68">
      <w:pPr>
        <w:pStyle w:val="ListParagraph"/>
        <w:ind w:left="360"/>
        <w:jc w:val="both"/>
        <w:rPr>
          <w:rFonts w:asciiTheme="minorHAnsi" w:hAnsiTheme="minorHAnsi" w:cstheme="minorHAnsi"/>
          <w:sz w:val="24"/>
          <w:szCs w:val="24"/>
        </w:rPr>
      </w:pP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-Plan Spot check 2021</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 xml:space="preserve">-Guide de vérification ponctuelle (Spot check) </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-Annexe A:  Checklist de vérification ponctuelle</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 xml:space="preserve">-Annex B: Rapport sur la vérification ponctuelle </w:t>
      </w:r>
    </w:p>
    <w:p w:rsidR="00551F68" w:rsidRPr="00551F68" w:rsidRDefault="00551F68" w:rsidP="00551F68">
      <w:pPr>
        <w:pStyle w:val="ListParagraph"/>
        <w:ind w:left="360"/>
        <w:jc w:val="both"/>
        <w:rPr>
          <w:rFonts w:asciiTheme="minorHAnsi" w:hAnsiTheme="minorHAnsi" w:cstheme="minorHAnsi"/>
          <w:sz w:val="24"/>
          <w:szCs w:val="24"/>
        </w:rPr>
      </w:pPr>
      <w:r w:rsidRPr="00551F68">
        <w:rPr>
          <w:rFonts w:asciiTheme="minorHAnsi" w:hAnsiTheme="minorHAnsi" w:cstheme="minorHAnsi"/>
          <w:sz w:val="24"/>
          <w:szCs w:val="24"/>
        </w:rPr>
        <w:t>-Annex C: Document de la vérification des dépenses</w:t>
      </w:r>
    </w:p>
    <w:p w:rsidR="00551F68" w:rsidRPr="00732347" w:rsidRDefault="00551F68" w:rsidP="00CE421F">
      <w:pPr>
        <w:pStyle w:val="ListParagraph"/>
        <w:ind w:left="360"/>
        <w:jc w:val="both"/>
        <w:rPr>
          <w:rFonts w:asciiTheme="minorHAnsi" w:hAnsiTheme="minorHAnsi" w:cstheme="minorHAnsi"/>
          <w:sz w:val="24"/>
          <w:szCs w:val="24"/>
        </w:rPr>
      </w:pPr>
    </w:p>
    <w:p w:rsidR="009F18C1" w:rsidRPr="00732347" w:rsidRDefault="009F18C1" w:rsidP="006358BE">
      <w:pPr>
        <w:pStyle w:val="Default"/>
        <w:spacing w:line="276" w:lineRule="auto"/>
        <w:jc w:val="both"/>
        <w:rPr>
          <w:rFonts w:asciiTheme="minorHAnsi" w:hAnsiTheme="minorHAnsi" w:cstheme="minorHAnsi"/>
          <w:color w:val="auto"/>
          <w:lang w:val="fr-FR"/>
        </w:rPr>
      </w:pPr>
    </w:p>
    <w:tbl>
      <w:tblPr>
        <w:tblpPr w:leftFromText="141" w:rightFromText="141" w:vertAnchor="text" w:horzAnchor="margin" w:tblpXSpec="center" w:tblpY="791"/>
        <w:tblW w:w="2860" w:type="dxa"/>
        <w:tblLayout w:type="fixed"/>
        <w:tblCellMar>
          <w:left w:w="70" w:type="dxa"/>
          <w:right w:w="70" w:type="dxa"/>
        </w:tblCellMar>
        <w:tblLook w:val="04A0" w:firstRow="1" w:lastRow="0" w:firstColumn="1" w:lastColumn="0" w:noHBand="0" w:noVBand="1"/>
      </w:tblPr>
      <w:tblGrid>
        <w:gridCol w:w="2860"/>
      </w:tblGrid>
      <w:tr w:rsidR="002D55AD" w:rsidRPr="00732347" w:rsidTr="00B8285C">
        <w:trPr>
          <w:trHeight w:val="343"/>
        </w:trPr>
        <w:tc>
          <w:tcPr>
            <w:tcW w:w="2860" w:type="dxa"/>
            <w:shd w:val="clear" w:color="auto" w:fill="FFFFFF"/>
            <w:hideMark/>
          </w:tcPr>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p w:rsidR="002D55AD" w:rsidRPr="00732347" w:rsidRDefault="002D55AD" w:rsidP="002D55AD">
            <w:pPr>
              <w:autoSpaceDE w:val="0"/>
              <w:autoSpaceDN w:val="0"/>
              <w:adjustRightInd w:val="0"/>
              <w:jc w:val="both"/>
              <w:rPr>
                <w:rFonts w:asciiTheme="minorHAnsi" w:hAnsiTheme="minorHAnsi" w:cstheme="minorHAnsi"/>
                <w:sz w:val="24"/>
                <w:szCs w:val="24"/>
              </w:rPr>
            </w:pPr>
          </w:p>
        </w:tc>
      </w:tr>
    </w:tbl>
    <w:p w:rsidR="002D55AD" w:rsidRPr="00732347" w:rsidRDefault="002D55AD" w:rsidP="002D55AD">
      <w:pPr>
        <w:pStyle w:val="Default"/>
        <w:spacing w:after="240" w:line="276" w:lineRule="auto"/>
        <w:jc w:val="both"/>
        <w:rPr>
          <w:rFonts w:asciiTheme="minorHAnsi" w:hAnsiTheme="minorHAnsi" w:cstheme="minorHAnsi"/>
          <w:bCs/>
          <w:caps/>
          <w:color w:val="auto"/>
          <w:lang w:val="fr-FR"/>
        </w:rPr>
      </w:pPr>
    </w:p>
    <w:p w:rsidR="009F18C1" w:rsidRPr="006358BE" w:rsidRDefault="009F18C1" w:rsidP="006358BE">
      <w:pPr>
        <w:jc w:val="both"/>
        <w:rPr>
          <w:rFonts w:asciiTheme="minorHAnsi" w:hAnsiTheme="minorHAnsi" w:cstheme="minorHAnsi"/>
          <w:sz w:val="24"/>
          <w:szCs w:val="24"/>
        </w:rPr>
      </w:pPr>
    </w:p>
    <w:p w:rsidR="009F18C1" w:rsidRPr="006358BE" w:rsidRDefault="009F18C1" w:rsidP="006358BE">
      <w:pPr>
        <w:jc w:val="both"/>
        <w:rPr>
          <w:rFonts w:asciiTheme="minorHAnsi" w:hAnsiTheme="minorHAnsi" w:cstheme="minorHAnsi"/>
          <w:b/>
          <w:bCs/>
          <w:sz w:val="24"/>
          <w:szCs w:val="24"/>
        </w:rPr>
      </w:pPr>
    </w:p>
    <w:p w:rsidR="009F18C1" w:rsidRPr="006358BE" w:rsidRDefault="009F18C1" w:rsidP="006358BE">
      <w:pPr>
        <w:ind w:left="360"/>
        <w:jc w:val="both"/>
        <w:rPr>
          <w:rFonts w:asciiTheme="minorHAnsi" w:hAnsiTheme="minorHAnsi" w:cstheme="minorHAnsi"/>
          <w:b/>
          <w:sz w:val="24"/>
          <w:szCs w:val="24"/>
        </w:rPr>
      </w:pPr>
    </w:p>
    <w:p w:rsidR="009F18C1" w:rsidRPr="006358BE" w:rsidRDefault="009F18C1" w:rsidP="006358BE">
      <w:pPr>
        <w:ind w:left="360"/>
        <w:jc w:val="both"/>
        <w:rPr>
          <w:rFonts w:asciiTheme="minorHAnsi" w:hAnsiTheme="minorHAnsi" w:cstheme="minorHAnsi"/>
          <w:b/>
          <w:sz w:val="24"/>
          <w:szCs w:val="24"/>
        </w:rPr>
      </w:pPr>
    </w:p>
    <w:p w:rsidR="009F18C1" w:rsidRPr="006358BE" w:rsidRDefault="009F18C1" w:rsidP="006358BE">
      <w:pPr>
        <w:ind w:left="360"/>
        <w:jc w:val="both"/>
        <w:rPr>
          <w:rFonts w:asciiTheme="minorHAnsi" w:hAnsiTheme="minorHAnsi" w:cstheme="minorHAnsi"/>
          <w:b/>
          <w:sz w:val="24"/>
          <w:szCs w:val="24"/>
        </w:rPr>
      </w:pPr>
    </w:p>
    <w:p w:rsidR="009F18C1" w:rsidRPr="006358BE" w:rsidRDefault="009F18C1" w:rsidP="006358BE">
      <w:pPr>
        <w:jc w:val="both"/>
        <w:rPr>
          <w:rFonts w:asciiTheme="minorHAnsi" w:hAnsiTheme="minorHAnsi" w:cstheme="minorHAnsi"/>
          <w:b/>
          <w:sz w:val="24"/>
          <w:szCs w:val="24"/>
        </w:rPr>
      </w:pPr>
    </w:p>
    <w:p w:rsidR="009F18C1" w:rsidRPr="006358BE" w:rsidRDefault="009F18C1" w:rsidP="006358BE">
      <w:pPr>
        <w:pStyle w:val="ListParagraph"/>
        <w:ind w:left="360"/>
        <w:jc w:val="both"/>
        <w:rPr>
          <w:rFonts w:asciiTheme="minorHAnsi" w:hAnsiTheme="minorHAnsi" w:cstheme="minorHAnsi"/>
          <w:sz w:val="24"/>
          <w:szCs w:val="24"/>
        </w:rPr>
      </w:pPr>
    </w:p>
    <w:p w:rsidR="009F18C1" w:rsidRPr="006358BE" w:rsidRDefault="009F18C1" w:rsidP="006358BE">
      <w:pPr>
        <w:spacing w:after="200" w:line="276" w:lineRule="auto"/>
        <w:jc w:val="both"/>
        <w:rPr>
          <w:rFonts w:asciiTheme="minorHAnsi" w:hAnsiTheme="minorHAnsi" w:cstheme="minorHAnsi"/>
          <w:b/>
          <w:sz w:val="24"/>
          <w:szCs w:val="24"/>
        </w:rPr>
        <w:sectPr w:rsidR="009F18C1" w:rsidRPr="006358BE" w:rsidSect="00920053">
          <w:headerReference w:type="default" r:id="rId13"/>
          <w:footerReference w:type="default" r:id="rId14"/>
          <w:pgSz w:w="12240" w:h="15840"/>
          <w:pgMar w:top="993" w:right="1183" w:bottom="1440" w:left="1440" w:header="720" w:footer="720" w:gutter="0"/>
          <w:cols w:space="720"/>
          <w:docGrid w:linePitch="360"/>
        </w:sectPr>
      </w:pPr>
    </w:p>
    <w:p w:rsidR="002D55AD" w:rsidRDefault="002D55AD" w:rsidP="006358BE">
      <w:pPr>
        <w:jc w:val="both"/>
        <w:rPr>
          <w:rFonts w:asciiTheme="minorHAnsi" w:hAnsiTheme="minorHAnsi" w:cstheme="minorHAnsi"/>
          <w:sz w:val="24"/>
          <w:szCs w:val="24"/>
        </w:rPr>
      </w:pPr>
    </w:p>
    <w:p w:rsidR="002D55AD" w:rsidRPr="006358BE" w:rsidRDefault="002D55AD" w:rsidP="006358BE">
      <w:pPr>
        <w:jc w:val="both"/>
        <w:rPr>
          <w:rFonts w:asciiTheme="minorHAnsi"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Questions </w:t>
      </w: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Les demandes de clarification doivent être communiquées par écrit au contact ci-dessous :</w:t>
      </w:r>
    </w:p>
    <w:p w:rsidR="001160D9" w:rsidRPr="006358BE" w:rsidRDefault="001160D9" w:rsidP="006358BE">
      <w:pPr>
        <w:pStyle w:val="letter"/>
        <w:jc w:val="both"/>
        <w:rPr>
          <w:rFonts w:asciiTheme="minorHAnsi" w:hAnsiTheme="minorHAnsi" w:cstheme="minorHAnsi"/>
          <w:szCs w:val="24"/>
          <w:u w:val="single"/>
        </w:rPr>
      </w:pPr>
    </w:p>
    <w:tbl>
      <w:tblPr>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431"/>
      </w:tblGrid>
      <w:tr w:rsidR="001160D9" w:rsidRPr="006358BE" w:rsidTr="00CD2032">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1160D9" w:rsidRPr="006358BE" w:rsidRDefault="007A793C" w:rsidP="006358BE">
            <w:pPr>
              <w:pStyle w:val="letter"/>
              <w:jc w:val="both"/>
              <w:rPr>
                <w:rFonts w:asciiTheme="minorHAnsi" w:hAnsiTheme="minorHAnsi" w:cstheme="minorHAnsi"/>
                <w:szCs w:val="24"/>
              </w:rPr>
            </w:pPr>
            <w:r w:rsidRPr="006358BE">
              <w:rPr>
                <w:rFonts w:asciiTheme="minorHAnsi" w:eastAsia="Calibri" w:hAnsiTheme="minorHAnsi" w:cstheme="minorHAnsi"/>
                <w:szCs w:val="24"/>
              </w:rPr>
              <w:t>Adresse e-mail du contact :</w:t>
            </w:r>
          </w:p>
        </w:tc>
        <w:tc>
          <w:tcPr>
            <w:tcW w:w="543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1160D9" w:rsidRPr="006358BE" w:rsidRDefault="002D55AD" w:rsidP="006358BE">
            <w:pPr>
              <w:pStyle w:val="letter"/>
              <w:jc w:val="both"/>
              <w:rPr>
                <w:rFonts w:asciiTheme="minorHAnsi" w:eastAsia="Calibri" w:hAnsiTheme="minorHAnsi" w:cstheme="minorHAnsi"/>
                <w:i/>
                <w:szCs w:val="24"/>
                <w:highlight w:val="yellow"/>
              </w:rPr>
            </w:pPr>
            <w:r>
              <w:rPr>
                <w:rFonts w:asciiTheme="minorHAnsi" w:eastAsia="Calibri" w:hAnsiTheme="minorHAnsi" w:cstheme="minorHAnsi"/>
                <w:i/>
                <w:szCs w:val="24"/>
              </w:rPr>
              <w:t>perna</w:t>
            </w:r>
            <w:r w:rsidR="00CD2032" w:rsidRPr="006358BE">
              <w:rPr>
                <w:rFonts w:asciiTheme="minorHAnsi" w:eastAsia="Calibri" w:hAnsiTheme="minorHAnsi" w:cstheme="minorHAnsi"/>
                <w:i/>
                <w:szCs w:val="24"/>
              </w:rPr>
              <w:t>@unfpa.org</w:t>
            </w:r>
          </w:p>
        </w:tc>
      </w:tr>
    </w:tbl>
    <w:p w:rsidR="001160D9" w:rsidRPr="006358BE" w:rsidRDefault="001160D9" w:rsidP="006358BE">
      <w:pPr>
        <w:tabs>
          <w:tab w:val="left" w:pos="1200"/>
        </w:tabs>
        <w:jc w:val="both"/>
        <w:rPr>
          <w:rFonts w:asciiTheme="minorHAnsi" w:eastAsia="Times" w:hAnsiTheme="minorHAnsi" w:cstheme="minorHAnsi"/>
          <w:sz w:val="24"/>
          <w:szCs w:val="24"/>
        </w:rPr>
      </w:pPr>
    </w:p>
    <w:p w:rsidR="001160D9" w:rsidRPr="006358BE" w:rsidRDefault="007A793C" w:rsidP="006358BE">
      <w:pPr>
        <w:tabs>
          <w:tab w:val="left" w:pos="6630"/>
          <w:tab w:val="left" w:pos="9120"/>
        </w:tabs>
        <w:jc w:val="both"/>
        <w:rPr>
          <w:rFonts w:asciiTheme="minorHAnsi" w:hAnsiTheme="minorHAnsi" w:cstheme="minorHAnsi"/>
          <w:sz w:val="24"/>
          <w:szCs w:val="24"/>
        </w:rPr>
      </w:pPr>
      <w:r w:rsidRPr="006358BE">
        <w:rPr>
          <w:rFonts w:asciiTheme="minorHAnsi" w:eastAsia="Times" w:hAnsiTheme="minorHAnsi" w:cstheme="minorHAnsi"/>
          <w:sz w:val="24"/>
          <w:szCs w:val="24"/>
        </w:rPr>
        <w:t>L</w:t>
      </w:r>
      <w:r w:rsidR="00765A5B" w:rsidRPr="006358BE">
        <w:rPr>
          <w:rFonts w:asciiTheme="minorHAnsi" w:eastAsia="Times" w:hAnsiTheme="minorHAnsi" w:cstheme="minorHAnsi"/>
          <w:sz w:val="24"/>
          <w:szCs w:val="24"/>
        </w:rPr>
        <w:t>a</w:t>
      </w:r>
      <w:r w:rsidRPr="006358BE">
        <w:rPr>
          <w:rFonts w:asciiTheme="minorHAnsi" w:eastAsia="Times" w:hAnsiTheme="minorHAnsi" w:cstheme="minorHAnsi"/>
          <w:sz w:val="24"/>
          <w:szCs w:val="24"/>
        </w:rPr>
        <w:t xml:space="preserve"> </w:t>
      </w:r>
      <w:r w:rsidR="00765A5B" w:rsidRPr="006358BE">
        <w:rPr>
          <w:rFonts w:asciiTheme="minorHAnsi" w:eastAsia="Times" w:hAnsiTheme="minorHAnsi" w:cstheme="minorHAnsi"/>
          <w:sz w:val="24"/>
          <w:szCs w:val="24"/>
        </w:rPr>
        <w:t>date limite</w:t>
      </w:r>
      <w:r w:rsidRPr="006358BE">
        <w:rPr>
          <w:rFonts w:asciiTheme="minorHAnsi" w:eastAsia="Times" w:hAnsiTheme="minorHAnsi" w:cstheme="minorHAnsi"/>
          <w:sz w:val="24"/>
          <w:szCs w:val="24"/>
        </w:rPr>
        <w:t xml:space="preserve"> pour </w:t>
      </w:r>
      <w:r w:rsidR="005838F7" w:rsidRPr="006358BE">
        <w:rPr>
          <w:rFonts w:asciiTheme="minorHAnsi" w:eastAsia="Times" w:hAnsiTheme="minorHAnsi" w:cstheme="minorHAnsi"/>
          <w:sz w:val="24"/>
          <w:szCs w:val="24"/>
        </w:rPr>
        <w:t>soumettre des</w:t>
      </w:r>
      <w:r w:rsidRPr="006358BE">
        <w:rPr>
          <w:rFonts w:asciiTheme="minorHAnsi" w:eastAsia="Times" w:hAnsiTheme="minorHAnsi" w:cstheme="minorHAnsi"/>
          <w:sz w:val="24"/>
          <w:szCs w:val="24"/>
        </w:rPr>
        <w:t xml:space="preserve"> questions est fixé</w:t>
      </w:r>
      <w:r w:rsidR="00765A5B" w:rsidRPr="006358BE">
        <w:rPr>
          <w:rFonts w:asciiTheme="minorHAnsi" w:eastAsia="Times" w:hAnsiTheme="minorHAnsi" w:cstheme="minorHAnsi"/>
          <w:sz w:val="24"/>
          <w:szCs w:val="24"/>
        </w:rPr>
        <w:t>e</w:t>
      </w:r>
      <w:r w:rsidRPr="006358BE">
        <w:rPr>
          <w:rFonts w:asciiTheme="minorHAnsi" w:eastAsia="Times" w:hAnsiTheme="minorHAnsi" w:cstheme="minorHAnsi"/>
          <w:sz w:val="24"/>
          <w:szCs w:val="24"/>
        </w:rPr>
        <w:t xml:space="preserve"> au</w:t>
      </w:r>
      <w:r w:rsidR="005838F7" w:rsidRPr="006358BE">
        <w:rPr>
          <w:rFonts w:asciiTheme="minorHAnsi" w:hAnsiTheme="minorHAnsi" w:cstheme="minorHAnsi"/>
          <w:sz w:val="24"/>
          <w:szCs w:val="24"/>
        </w:rPr>
        <w:t xml:space="preserve"> </w:t>
      </w:r>
      <w:r w:rsidR="005838F7" w:rsidRPr="006358BE">
        <w:rPr>
          <w:rFonts w:asciiTheme="minorHAnsi" w:eastAsia="Times" w:hAnsiTheme="minorHAnsi" w:cstheme="minorHAnsi"/>
          <w:b/>
          <w:sz w:val="24"/>
          <w:szCs w:val="24"/>
        </w:rPr>
        <w:t>plus tard</w:t>
      </w:r>
      <w:r w:rsidR="005838F7" w:rsidRPr="006358BE">
        <w:rPr>
          <w:rFonts w:asciiTheme="minorHAnsi" w:eastAsia="Times" w:hAnsiTheme="minorHAnsi" w:cstheme="minorHAnsi"/>
          <w:sz w:val="24"/>
          <w:szCs w:val="24"/>
        </w:rPr>
        <w:t xml:space="preserve"> le </w:t>
      </w:r>
      <w:r w:rsidR="005838F7" w:rsidRPr="006358BE">
        <w:rPr>
          <w:rFonts w:asciiTheme="minorHAnsi" w:eastAsia="Times" w:hAnsiTheme="minorHAnsi" w:cstheme="minorHAnsi"/>
          <w:b/>
          <w:sz w:val="24"/>
          <w:szCs w:val="24"/>
        </w:rPr>
        <w:t xml:space="preserve">Lundi </w:t>
      </w:r>
      <w:r w:rsidR="00B8285C">
        <w:rPr>
          <w:rFonts w:asciiTheme="minorHAnsi" w:eastAsia="Times" w:hAnsiTheme="minorHAnsi" w:cstheme="minorHAnsi"/>
          <w:b/>
          <w:sz w:val="24"/>
          <w:szCs w:val="24"/>
        </w:rPr>
        <w:t>28</w:t>
      </w:r>
      <w:r w:rsidR="002D55AD" w:rsidRPr="002D55AD">
        <w:rPr>
          <w:rFonts w:asciiTheme="minorHAnsi" w:eastAsia="Times" w:hAnsiTheme="minorHAnsi" w:cstheme="minorHAnsi"/>
          <w:b/>
          <w:sz w:val="24"/>
          <w:szCs w:val="24"/>
        </w:rPr>
        <w:t xml:space="preserve"> </w:t>
      </w:r>
      <w:r w:rsidR="00B8285C">
        <w:rPr>
          <w:rFonts w:asciiTheme="minorHAnsi" w:eastAsia="Times" w:hAnsiTheme="minorHAnsi" w:cstheme="minorHAnsi"/>
          <w:b/>
          <w:sz w:val="24"/>
          <w:szCs w:val="24"/>
        </w:rPr>
        <w:t>Février 2022</w:t>
      </w:r>
      <w:r w:rsidR="002D55AD" w:rsidRPr="002D55AD">
        <w:rPr>
          <w:rFonts w:asciiTheme="minorHAnsi" w:eastAsia="Times" w:hAnsiTheme="minorHAnsi" w:cstheme="minorHAnsi"/>
          <w:b/>
          <w:sz w:val="24"/>
          <w:szCs w:val="24"/>
        </w:rPr>
        <w:t xml:space="preserve"> à 16h.</w:t>
      </w:r>
      <w:r w:rsidRPr="006358BE">
        <w:rPr>
          <w:rFonts w:asciiTheme="minorHAnsi" w:eastAsia="Times" w:hAnsiTheme="minorHAnsi" w:cstheme="minorHAnsi"/>
          <w:sz w:val="24"/>
          <w:szCs w:val="24"/>
        </w:rPr>
        <w:t>Les réponses aux questions seront communiquées par écrit à toutes les parties le plus rapidement possible après ce délai.</w:t>
      </w:r>
    </w:p>
    <w:p w:rsidR="001160D9" w:rsidRPr="006358BE" w:rsidRDefault="001160D9" w:rsidP="006358BE">
      <w:pPr>
        <w:tabs>
          <w:tab w:val="left" w:pos="1200"/>
        </w:tabs>
        <w:jc w:val="both"/>
        <w:rPr>
          <w:rFonts w:asciiTheme="minorHAnsi" w:eastAsia="Times"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Contenu </w:t>
      </w:r>
      <w:r w:rsidR="00765A5B" w:rsidRPr="006358BE">
        <w:rPr>
          <w:rFonts w:asciiTheme="minorHAnsi" w:hAnsiTheme="minorHAnsi" w:cstheme="minorHAnsi"/>
          <w:b/>
          <w:sz w:val="24"/>
          <w:szCs w:val="24"/>
        </w:rPr>
        <w:t>de</w:t>
      </w:r>
      <w:r w:rsidR="00894A3D" w:rsidRPr="006358BE">
        <w:rPr>
          <w:rFonts w:asciiTheme="minorHAnsi" w:hAnsiTheme="minorHAnsi" w:cstheme="minorHAnsi"/>
          <w:b/>
          <w:sz w:val="24"/>
          <w:szCs w:val="24"/>
        </w:rPr>
        <w:t>s</w:t>
      </w:r>
      <w:r w:rsidR="00765A5B" w:rsidRPr="006358BE">
        <w:rPr>
          <w:rFonts w:asciiTheme="minorHAnsi" w:hAnsiTheme="minorHAnsi" w:cstheme="minorHAnsi"/>
          <w:b/>
          <w:sz w:val="24"/>
          <w:szCs w:val="24"/>
        </w:rPr>
        <w:t xml:space="preserve"> cotation</w:t>
      </w:r>
      <w:r w:rsidR="00894A3D" w:rsidRPr="006358BE">
        <w:rPr>
          <w:rFonts w:asciiTheme="minorHAnsi" w:hAnsiTheme="minorHAnsi" w:cstheme="minorHAnsi"/>
          <w:b/>
          <w:sz w:val="24"/>
          <w:szCs w:val="24"/>
        </w:rPr>
        <w:t>s</w:t>
      </w:r>
    </w:p>
    <w:p w:rsidR="001160D9" w:rsidRPr="006358BE" w:rsidRDefault="007A793C" w:rsidP="006358BE">
      <w:pPr>
        <w:tabs>
          <w:tab w:val="left" w:pos="6630"/>
          <w:tab w:val="left" w:pos="9120"/>
        </w:tabs>
        <w:jc w:val="both"/>
        <w:rPr>
          <w:rFonts w:asciiTheme="minorHAnsi" w:hAnsiTheme="minorHAnsi" w:cstheme="minorHAnsi"/>
          <w:sz w:val="24"/>
          <w:szCs w:val="24"/>
        </w:rPr>
      </w:pPr>
      <w:r w:rsidRPr="006358BE">
        <w:rPr>
          <w:rFonts w:asciiTheme="minorHAnsi" w:eastAsia="Times" w:hAnsiTheme="minorHAnsi" w:cstheme="minorHAnsi"/>
          <w:sz w:val="24"/>
          <w:szCs w:val="24"/>
        </w:rPr>
        <w:t xml:space="preserve">Les </w:t>
      </w:r>
      <w:r w:rsidR="007D189F" w:rsidRPr="006358BE">
        <w:rPr>
          <w:rFonts w:asciiTheme="minorHAnsi" w:eastAsia="Times" w:hAnsiTheme="minorHAnsi" w:cstheme="minorHAnsi"/>
          <w:sz w:val="24"/>
          <w:szCs w:val="24"/>
        </w:rPr>
        <w:t>cotations doivent</w:t>
      </w:r>
      <w:r w:rsidRPr="006358BE">
        <w:rPr>
          <w:rFonts w:asciiTheme="minorHAnsi" w:eastAsia="Times" w:hAnsiTheme="minorHAnsi" w:cstheme="minorHAnsi"/>
          <w:sz w:val="24"/>
          <w:szCs w:val="24"/>
        </w:rPr>
        <w:t xml:space="preserve"> être envoyé</w:t>
      </w:r>
      <w:r w:rsidR="00765A5B" w:rsidRPr="006358BE">
        <w:rPr>
          <w:rFonts w:asciiTheme="minorHAnsi" w:eastAsia="Times" w:hAnsiTheme="minorHAnsi" w:cstheme="minorHAnsi"/>
          <w:sz w:val="24"/>
          <w:szCs w:val="24"/>
        </w:rPr>
        <w:t>e</w:t>
      </w:r>
      <w:r w:rsidRPr="006358BE">
        <w:rPr>
          <w:rFonts w:asciiTheme="minorHAnsi" w:eastAsia="Times" w:hAnsiTheme="minorHAnsi" w:cstheme="minorHAnsi"/>
          <w:sz w:val="24"/>
          <w:szCs w:val="24"/>
        </w:rPr>
        <w:t>s en un seul e-mail, si la taille le permet. Les devis doivent contenir :</w:t>
      </w:r>
    </w:p>
    <w:p w:rsidR="001160D9" w:rsidRPr="006358BE" w:rsidRDefault="001160D9" w:rsidP="006358BE">
      <w:pPr>
        <w:tabs>
          <w:tab w:val="left" w:pos="6630"/>
          <w:tab w:val="left" w:pos="9120"/>
        </w:tabs>
        <w:jc w:val="both"/>
        <w:rPr>
          <w:rFonts w:asciiTheme="minorHAnsi" w:eastAsia="Times" w:hAnsiTheme="minorHAnsi" w:cstheme="minorHAnsi"/>
          <w:sz w:val="24"/>
          <w:szCs w:val="24"/>
        </w:rPr>
      </w:pPr>
    </w:p>
    <w:p w:rsidR="001160D9" w:rsidRPr="006358BE" w:rsidRDefault="007A793C" w:rsidP="006358BE">
      <w:pPr>
        <w:pStyle w:val="Caption"/>
        <w:numPr>
          <w:ilvl w:val="0"/>
          <w:numId w:val="3"/>
        </w:numPr>
        <w:jc w:val="both"/>
        <w:rPr>
          <w:rFonts w:asciiTheme="minorHAnsi" w:hAnsiTheme="minorHAnsi" w:cstheme="minorHAnsi"/>
          <w:b w:val="0"/>
          <w:sz w:val="24"/>
          <w:szCs w:val="24"/>
        </w:rPr>
      </w:pPr>
      <w:r w:rsidRPr="006358BE">
        <w:rPr>
          <w:rFonts w:asciiTheme="minorHAnsi" w:hAnsiTheme="minorHAnsi" w:cstheme="minorHAnsi"/>
          <w:b w:val="0"/>
          <w:sz w:val="24"/>
          <w:szCs w:val="24"/>
        </w:rPr>
        <w:t>L’offre technique, correspondant aux exigences définies dans les spécifications et le cahier des charges.</w:t>
      </w:r>
    </w:p>
    <w:p w:rsidR="001160D9" w:rsidRPr="006358BE" w:rsidRDefault="007A793C" w:rsidP="006358BE">
      <w:pPr>
        <w:numPr>
          <w:ilvl w:val="0"/>
          <w:numId w:val="3"/>
        </w:numPr>
        <w:jc w:val="both"/>
        <w:rPr>
          <w:rFonts w:asciiTheme="minorHAnsi" w:hAnsiTheme="minorHAnsi" w:cstheme="minorHAnsi"/>
          <w:sz w:val="24"/>
          <w:szCs w:val="24"/>
        </w:rPr>
      </w:pPr>
      <w:r w:rsidRPr="006358BE">
        <w:rPr>
          <w:rFonts w:asciiTheme="minorHAnsi" w:hAnsiTheme="minorHAnsi" w:cstheme="minorHAnsi"/>
          <w:sz w:val="24"/>
          <w:szCs w:val="24"/>
        </w:rPr>
        <w:t>Le devis financier, en respectant strictement le formulaire de devis financier.</w:t>
      </w:r>
    </w:p>
    <w:p w:rsidR="001160D9" w:rsidRPr="006358BE" w:rsidRDefault="001160D9" w:rsidP="006358BE">
      <w:pPr>
        <w:jc w:val="both"/>
        <w:rPr>
          <w:rFonts w:asciiTheme="minorHAnsi" w:hAnsiTheme="minorHAnsi" w:cstheme="minorHAnsi"/>
          <w:sz w:val="24"/>
          <w:szCs w:val="24"/>
        </w:rPr>
      </w:pP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Les deux parties </w:t>
      </w:r>
      <w:r w:rsidR="00765A5B" w:rsidRPr="006358BE">
        <w:rPr>
          <w:rFonts w:asciiTheme="minorHAnsi" w:hAnsiTheme="minorHAnsi" w:cstheme="minorHAnsi"/>
          <w:sz w:val="24"/>
          <w:szCs w:val="24"/>
        </w:rPr>
        <w:t xml:space="preserve">de la </w:t>
      </w:r>
      <w:r w:rsidR="007D189F" w:rsidRPr="006358BE">
        <w:rPr>
          <w:rFonts w:asciiTheme="minorHAnsi" w:hAnsiTheme="minorHAnsi" w:cstheme="minorHAnsi"/>
          <w:sz w:val="24"/>
          <w:szCs w:val="24"/>
        </w:rPr>
        <w:t>cotation doivent</w:t>
      </w:r>
      <w:r w:rsidRPr="006358BE">
        <w:rPr>
          <w:rFonts w:asciiTheme="minorHAnsi" w:hAnsiTheme="minorHAnsi" w:cstheme="minorHAnsi"/>
          <w:sz w:val="24"/>
          <w:szCs w:val="24"/>
        </w:rPr>
        <w:t xml:space="preserve"> être signées par l’autorité compétente de la société soumissionnaire et envoyées </w:t>
      </w:r>
      <w:r w:rsidR="00765A5B" w:rsidRPr="006358BE">
        <w:rPr>
          <w:rFonts w:asciiTheme="minorHAnsi" w:hAnsiTheme="minorHAnsi" w:cstheme="minorHAnsi"/>
          <w:sz w:val="24"/>
          <w:szCs w:val="24"/>
        </w:rPr>
        <w:t xml:space="preserve">en </w:t>
      </w:r>
      <w:r w:rsidRPr="006358BE">
        <w:rPr>
          <w:rFonts w:asciiTheme="minorHAnsi" w:hAnsiTheme="minorHAnsi" w:cstheme="minorHAnsi"/>
          <w:sz w:val="24"/>
          <w:szCs w:val="24"/>
        </w:rPr>
        <w:t>format PDF.</w:t>
      </w:r>
    </w:p>
    <w:p w:rsidR="001160D9" w:rsidRPr="006358BE" w:rsidRDefault="001160D9" w:rsidP="006358BE">
      <w:pPr>
        <w:tabs>
          <w:tab w:val="left" w:pos="6630"/>
          <w:tab w:val="left" w:pos="9120"/>
        </w:tabs>
        <w:jc w:val="both"/>
        <w:rPr>
          <w:rFonts w:asciiTheme="minorHAnsi" w:eastAsia="Times"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Instructions de soumission </w:t>
      </w:r>
    </w:p>
    <w:p w:rsidR="00CD2032" w:rsidRPr="006358BE" w:rsidRDefault="00CD2032" w:rsidP="006358BE">
      <w:pPr>
        <w:jc w:val="both"/>
        <w:rPr>
          <w:rFonts w:asciiTheme="minorHAnsi" w:hAnsiTheme="minorHAnsi" w:cstheme="minorHAnsi"/>
          <w:sz w:val="24"/>
          <w:szCs w:val="24"/>
        </w:rPr>
      </w:pPr>
    </w:p>
    <w:p w:rsidR="0092492B"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Les offres doivent être préparées conformément aux recommandations présentées dans la section </w:t>
      </w:r>
      <w:r w:rsidR="007679F9" w:rsidRPr="006358BE">
        <w:rPr>
          <w:rFonts w:asciiTheme="minorHAnsi" w:hAnsiTheme="minorHAnsi" w:cstheme="minorHAnsi"/>
          <w:sz w:val="24"/>
          <w:szCs w:val="24"/>
        </w:rPr>
        <w:t xml:space="preserve">III </w:t>
      </w:r>
      <w:r w:rsidRPr="006358BE">
        <w:rPr>
          <w:rFonts w:asciiTheme="minorHAnsi" w:hAnsiTheme="minorHAnsi" w:cstheme="minorHAnsi"/>
          <w:sz w:val="24"/>
          <w:szCs w:val="24"/>
        </w:rPr>
        <w:t xml:space="preserve"> </w:t>
      </w:r>
    </w:p>
    <w:p w:rsidR="00D74CBC" w:rsidRDefault="007A793C" w:rsidP="006358BE">
      <w:pPr>
        <w:jc w:val="both"/>
        <w:rPr>
          <w:rFonts w:asciiTheme="minorHAnsi" w:hAnsiTheme="minorHAnsi" w:cstheme="minorHAnsi"/>
          <w:b/>
          <w:sz w:val="24"/>
          <w:szCs w:val="24"/>
        </w:rPr>
      </w:pPr>
      <w:r w:rsidRPr="006358BE">
        <w:rPr>
          <w:rFonts w:asciiTheme="minorHAnsi" w:hAnsiTheme="minorHAnsi" w:cstheme="minorHAnsi"/>
          <w:sz w:val="24"/>
          <w:szCs w:val="24"/>
        </w:rPr>
        <w:t>c</w:t>
      </w:r>
      <w:r w:rsidR="001214A6" w:rsidRPr="006358BE">
        <w:rPr>
          <w:rFonts w:asciiTheme="minorHAnsi" w:hAnsiTheme="minorHAnsi" w:cstheme="minorHAnsi"/>
          <w:sz w:val="24"/>
          <w:szCs w:val="24"/>
        </w:rPr>
        <w:t>i-</w:t>
      </w:r>
      <w:r w:rsidRPr="006358BE">
        <w:rPr>
          <w:rFonts w:asciiTheme="minorHAnsi" w:hAnsiTheme="minorHAnsi" w:cstheme="minorHAnsi"/>
          <w:sz w:val="24"/>
          <w:szCs w:val="24"/>
        </w:rPr>
        <w:t>dessus et envoyées</w:t>
      </w:r>
      <w:r w:rsidR="00CD2032" w:rsidRPr="006358BE">
        <w:rPr>
          <w:rFonts w:asciiTheme="minorHAnsi" w:hAnsiTheme="minorHAnsi" w:cstheme="minorHAnsi"/>
          <w:sz w:val="24"/>
          <w:szCs w:val="24"/>
        </w:rPr>
        <w:t xml:space="preserve"> exclusivement par e-mail</w:t>
      </w:r>
      <w:r w:rsidR="00CD2032" w:rsidRPr="006358BE">
        <w:rPr>
          <w:rFonts w:asciiTheme="minorHAnsi" w:hAnsiTheme="minorHAnsi" w:cstheme="minorHAnsi"/>
          <w:b/>
          <w:sz w:val="24"/>
          <w:szCs w:val="24"/>
        </w:rPr>
        <w:t xml:space="preserve"> </w:t>
      </w:r>
      <w:r w:rsidR="00CD2032" w:rsidRPr="006358BE">
        <w:rPr>
          <w:rFonts w:asciiTheme="minorHAnsi" w:hAnsiTheme="minorHAnsi" w:cstheme="minorHAnsi"/>
          <w:sz w:val="24"/>
          <w:szCs w:val="24"/>
        </w:rPr>
        <w:t>à</w:t>
      </w:r>
      <w:r w:rsidR="005838F7" w:rsidRPr="006358BE">
        <w:rPr>
          <w:rFonts w:asciiTheme="minorHAnsi" w:hAnsiTheme="minorHAnsi" w:cstheme="minorHAnsi"/>
          <w:b/>
          <w:sz w:val="24"/>
          <w:szCs w:val="24"/>
        </w:rPr>
        <w:t xml:space="preserve"> </w:t>
      </w:r>
      <w:hyperlink r:id="rId15" w:history="1">
        <w:r w:rsidR="005838F7" w:rsidRPr="006358BE">
          <w:rPr>
            <w:rStyle w:val="Hyperlink"/>
            <w:rFonts w:asciiTheme="minorHAnsi" w:hAnsiTheme="minorHAnsi" w:cstheme="minorHAnsi"/>
            <w:color w:val="auto"/>
            <w:sz w:val="24"/>
            <w:szCs w:val="24"/>
          </w:rPr>
          <w:t>ginprocurement@unfpa.org</w:t>
        </w:r>
      </w:hyperlink>
      <w:r w:rsidR="005838F7" w:rsidRPr="006358BE">
        <w:rPr>
          <w:rFonts w:asciiTheme="minorHAnsi" w:hAnsiTheme="minorHAnsi" w:cstheme="minorHAnsi"/>
          <w:sz w:val="24"/>
          <w:szCs w:val="24"/>
        </w:rPr>
        <w:t xml:space="preserve"> </w:t>
      </w:r>
      <w:r w:rsidR="00B0007F" w:rsidRPr="006358BE">
        <w:rPr>
          <w:rFonts w:asciiTheme="minorHAnsi" w:hAnsiTheme="minorHAnsi" w:cstheme="minorHAnsi"/>
          <w:b/>
          <w:sz w:val="24"/>
          <w:szCs w:val="24"/>
        </w:rPr>
        <w:t xml:space="preserve">au plus tard </w:t>
      </w:r>
      <w:r w:rsidR="00CD2032" w:rsidRPr="006358BE">
        <w:rPr>
          <w:rFonts w:asciiTheme="minorHAnsi" w:hAnsiTheme="minorHAnsi" w:cstheme="minorHAnsi"/>
          <w:b/>
          <w:sz w:val="24"/>
          <w:szCs w:val="24"/>
        </w:rPr>
        <w:t xml:space="preserve">le </w:t>
      </w:r>
      <w:r w:rsidR="002D55AD">
        <w:rPr>
          <w:rFonts w:asciiTheme="minorHAnsi" w:hAnsiTheme="minorHAnsi" w:cstheme="minorHAnsi"/>
          <w:b/>
          <w:sz w:val="24"/>
          <w:szCs w:val="24"/>
        </w:rPr>
        <w:t xml:space="preserve">Lundi </w:t>
      </w:r>
      <w:r w:rsidR="00B8285C">
        <w:rPr>
          <w:rFonts w:asciiTheme="minorHAnsi" w:hAnsiTheme="minorHAnsi" w:cstheme="minorHAnsi"/>
          <w:b/>
          <w:sz w:val="24"/>
          <w:szCs w:val="24"/>
        </w:rPr>
        <w:t>07</w:t>
      </w:r>
      <w:r w:rsidR="002D55AD" w:rsidRPr="002D55AD">
        <w:rPr>
          <w:rFonts w:asciiTheme="minorHAnsi" w:hAnsiTheme="minorHAnsi" w:cstheme="minorHAnsi"/>
          <w:b/>
          <w:sz w:val="24"/>
          <w:szCs w:val="24"/>
        </w:rPr>
        <w:t xml:space="preserve"> </w:t>
      </w:r>
      <w:r w:rsidR="00B8285C">
        <w:rPr>
          <w:rFonts w:asciiTheme="minorHAnsi" w:hAnsiTheme="minorHAnsi" w:cstheme="minorHAnsi"/>
          <w:b/>
          <w:sz w:val="24"/>
          <w:szCs w:val="24"/>
        </w:rPr>
        <w:t>Mars 2022</w:t>
      </w:r>
      <w:r w:rsidR="002D55AD" w:rsidRPr="002D55AD">
        <w:rPr>
          <w:rFonts w:asciiTheme="minorHAnsi" w:hAnsiTheme="minorHAnsi" w:cstheme="minorHAnsi"/>
          <w:b/>
          <w:sz w:val="24"/>
          <w:szCs w:val="24"/>
        </w:rPr>
        <w:t xml:space="preserve"> à 16 h 00.</w:t>
      </w:r>
    </w:p>
    <w:p w:rsidR="002D55AD" w:rsidRPr="006358BE" w:rsidRDefault="002D55AD" w:rsidP="006358BE">
      <w:pPr>
        <w:jc w:val="both"/>
        <w:rPr>
          <w:rFonts w:asciiTheme="minorHAnsi" w:hAnsiTheme="minorHAnsi" w:cstheme="minorHAnsi"/>
          <w:b/>
          <w:sz w:val="24"/>
          <w:szCs w:val="24"/>
        </w:rPr>
      </w:pPr>
    </w:p>
    <w:tbl>
      <w:tblPr>
        <w:tblW w:w="9351"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015"/>
        <w:gridCol w:w="6336"/>
      </w:tblGrid>
      <w:tr w:rsidR="006358BE" w:rsidRPr="006358BE" w:rsidTr="00920053">
        <w:trPr>
          <w:jc w:val="center"/>
        </w:trPr>
        <w:tc>
          <w:tcPr>
            <w:tcW w:w="283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rsidR="00D74CBC" w:rsidRPr="006358BE" w:rsidRDefault="00D74CBC" w:rsidP="006358BE">
            <w:pPr>
              <w:pStyle w:val="letter"/>
              <w:jc w:val="both"/>
              <w:rPr>
                <w:rFonts w:asciiTheme="minorHAnsi" w:eastAsia="Calibri" w:hAnsiTheme="minorHAnsi" w:cstheme="minorHAnsi"/>
                <w:b/>
                <w:i/>
                <w:szCs w:val="24"/>
              </w:rPr>
            </w:pPr>
            <w:r w:rsidRPr="006358BE">
              <w:rPr>
                <w:rFonts w:asciiTheme="minorHAnsi" w:eastAsia="Calibri" w:hAnsiTheme="minorHAnsi" w:cstheme="minorHAnsi"/>
                <w:b/>
                <w:szCs w:val="24"/>
              </w:rPr>
              <w:t>Dépôt des Offres : Uniquement par mail</w:t>
            </w:r>
            <w:r w:rsidRPr="006358BE">
              <w:rPr>
                <w:rFonts w:asciiTheme="minorHAnsi" w:eastAsia="Calibri" w:hAnsiTheme="minorHAnsi" w:cstheme="minorHAnsi"/>
                <w:b/>
                <w:i/>
                <w:szCs w:val="24"/>
              </w:rPr>
              <w:t xml:space="preserve"> à </w:t>
            </w:r>
          </w:p>
          <w:p w:rsidR="00D74CBC" w:rsidRPr="006358BE" w:rsidRDefault="007D10A7" w:rsidP="006358BE">
            <w:pPr>
              <w:pStyle w:val="letter"/>
              <w:jc w:val="both"/>
              <w:rPr>
                <w:rFonts w:asciiTheme="minorHAnsi" w:eastAsia="Calibri" w:hAnsiTheme="minorHAnsi" w:cstheme="minorHAnsi"/>
                <w:b/>
                <w:i/>
                <w:szCs w:val="24"/>
              </w:rPr>
            </w:pPr>
            <w:hyperlink r:id="rId16" w:history="1">
              <w:r w:rsidR="00D74CBC" w:rsidRPr="006358BE">
                <w:rPr>
                  <w:rStyle w:val="Hyperlink"/>
                  <w:rFonts w:asciiTheme="minorHAnsi" w:eastAsia="Calibri" w:hAnsiTheme="minorHAnsi" w:cstheme="minorHAnsi"/>
                  <w:b/>
                  <w:i/>
                  <w:color w:val="auto"/>
                  <w:szCs w:val="24"/>
                </w:rPr>
                <w:t>ginprocurement@unfpa.org</w:t>
              </w:r>
            </w:hyperlink>
          </w:p>
          <w:p w:rsidR="00D74CBC" w:rsidRPr="006358BE" w:rsidRDefault="00D74CBC" w:rsidP="006358BE">
            <w:pPr>
              <w:pStyle w:val="letter"/>
              <w:jc w:val="both"/>
              <w:rPr>
                <w:rFonts w:asciiTheme="minorHAnsi" w:hAnsiTheme="minorHAnsi" w:cstheme="minorHAnsi"/>
                <w:b/>
                <w:szCs w:val="24"/>
              </w:rPr>
            </w:pPr>
          </w:p>
        </w:tc>
        <w:tc>
          <w:tcPr>
            <w:tcW w:w="652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rsidR="00D74CBC" w:rsidRPr="006358BE" w:rsidRDefault="00D74CBC" w:rsidP="006358BE">
            <w:pPr>
              <w:pStyle w:val="letter"/>
              <w:jc w:val="both"/>
              <w:rPr>
                <w:rFonts w:asciiTheme="minorHAnsi" w:eastAsia="Calibri" w:hAnsiTheme="minorHAnsi" w:cstheme="minorHAnsi"/>
                <w:b/>
                <w:i/>
                <w:szCs w:val="24"/>
              </w:rPr>
            </w:pPr>
          </w:p>
          <w:p w:rsidR="00D74CBC" w:rsidRPr="006358BE" w:rsidRDefault="00D74CBC" w:rsidP="006358BE">
            <w:pPr>
              <w:pStyle w:val="letter"/>
              <w:jc w:val="both"/>
              <w:rPr>
                <w:rFonts w:asciiTheme="minorHAnsi" w:eastAsia="Calibri" w:hAnsiTheme="minorHAnsi" w:cstheme="minorHAnsi"/>
                <w:b/>
                <w:i/>
                <w:szCs w:val="24"/>
              </w:rPr>
            </w:pPr>
            <w:r w:rsidRPr="006358BE">
              <w:rPr>
                <w:rFonts w:asciiTheme="minorHAnsi" w:eastAsia="Calibri" w:hAnsiTheme="minorHAnsi" w:cstheme="minorHAnsi"/>
                <w:b/>
                <w:i/>
                <w:szCs w:val="24"/>
              </w:rPr>
              <w:t xml:space="preserve">Objet de l’E-mail : </w:t>
            </w:r>
          </w:p>
          <w:p w:rsidR="00D74CBC" w:rsidRPr="006358BE" w:rsidRDefault="00B8285C" w:rsidP="002D55AD">
            <w:pPr>
              <w:pStyle w:val="letter"/>
              <w:jc w:val="both"/>
              <w:rPr>
                <w:rFonts w:asciiTheme="minorHAnsi" w:eastAsia="Calibri" w:hAnsiTheme="minorHAnsi" w:cstheme="minorHAnsi"/>
                <w:b/>
                <w:i/>
                <w:szCs w:val="24"/>
              </w:rPr>
            </w:pPr>
            <w:r>
              <w:rPr>
                <w:rFonts w:asciiTheme="minorHAnsi" w:eastAsia="Calibri" w:hAnsiTheme="minorHAnsi" w:cstheme="minorHAnsi"/>
                <w:b/>
                <w:i/>
                <w:szCs w:val="24"/>
              </w:rPr>
              <w:t>Référence : « UNFPA/GIN/RFQ/22</w:t>
            </w:r>
            <w:r w:rsidR="00D74CBC" w:rsidRPr="006358BE">
              <w:rPr>
                <w:rFonts w:asciiTheme="minorHAnsi" w:eastAsia="Calibri" w:hAnsiTheme="minorHAnsi" w:cstheme="minorHAnsi"/>
                <w:b/>
                <w:i/>
                <w:szCs w:val="24"/>
              </w:rPr>
              <w:t>/0</w:t>
            </w:r>
            <w:r>
              <w:rPr>
                <w:rFonts w:asciiTheme="minorHAnsi" w:eastAsia="Calibri" w:hAnsiTheme="minorHAnsi" w:cstheme="minorHAnsi"/>
                <w:b/>
                <w:i/>
                <w:szCs w:val="24"/>
              </w:rPr>
              <w:t>2</w:t>
            </w:r>
            <w:r w:rsidR="00D74CBC" w:rsidRPr="006358BE">
              <w:rPr>
                <w:rFonts w:asciiTheme="minorHAnsi" w:eastAsia="Calibri" w:hAnsiTheme="minorHAnsi" w:cstheme="minorHAnsi"/>
                <w:b/>
                <w:i/>
                <w:szCs w:val="24"/>
              </w:rPr>
              <w:t>»</w:t>
            </w:r>
          </w:p>
        </w:tc>
      </w:tr>
    </w:tbl>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etter"/>
        <w:jc w:val="both"/>
        <w:rPr>
          <w:rFonts w:asciiTheme="minorHAnsi" w:hAnsiTheme="minorHAnsi" w:cstheme="minorHAnsi"/>
          <w:szCs w:val="24"/>
        </w:rPr>
      </w:pPr>
      <w:r w:rsidRPr="006358BE">
        <w:rPr>
          <w:rFonts w:asciiTheme="minorHAnsi" w:hAnsiTheme="minorHAnsi" w:cstheme="minorHAnsi"/>
          <w:szCs w:val="24"/>
        </w:rPr>
        <w:t xml:space="preserve">Veuillez lire les </w:t>
      </w:r>
      <w:r w:rsidR="005A2CEE" w:rsidRPr="006358BE">
        <w:rPr>
          <w:rFonts w:asciiTheme="minorHAnsi" w:hAnsiTheme="minorHAnsi" w:cstheme="minorHAnsi"/>
          <w:szCs w:val="24"/>
        </w:rPr>
        <w:t xml:space="preserve">directives </w:t>
      </w:r>
      <w:r w:rsidRPr="006358BE">
        <w:rPr>
          <w:rFonts w:asciiTheme="minorHAnsi" w:hAnsiTheme="minorHAnsi" w:cstheme="minorHAnsi"/>
          <w:szCs w:val="24"/>
        </w:rPr>
        <w:t>suivantes pour les soumissions électroniques :</w:t>
      </w:r>
    </w:p>
    <w:p w:rsidR="00D74CBC" w:rsidRPr="006358BE" w:rsidRDefault="007A793C" w:rsidP="006358BE">
      <w:pPr>
        <w:pStyle w:val="Caption"/>
        <w:numPr>
          <w:ilvl w:val="0"/>
          <w:numId w:val="2"/>
        </w:numPr>
        <w:jc w:val="both"/>
        <w:rPr>
          <w:rFonts w:asciiTheme="minorHAnsi" w:hAnsiTheme="minorHAnsi" w:cstheme="minorHAnsi"/>
          <w:sz w:val="24"/>
          <w:szCs w:val="24"/>
        </w:rPr>
      </w:pPr>
      <w:r w:rsidRPr="006358BE">
        <w:rPr>
          <w:rFonts w:asciiTheme="minorHAnsi" w:hAnsiTheme="minorHAnsi" w:cstheme="minorHAnsi"/>
          <w:b w:val="0"/>
          <w:sz w:val="24"/>
          <w:szCs w:val="24"/>
        </w:rPr>
        <w:t xml:space="preserve">La référence suivante doit être incluse dans le champ de l’objet de l’e-mail — </w:t>
      </w:r>
    </w:p>
    <w:p w:rsidR="00435106" w:rsidRPr="006358BE" w:rsidRDefault="007A793C" w:rsidP="006358BE">
      <w:pPr>
        <w:pStyle w:val="Caption"/>
        <w:ind w:left="360"/>
        <w:jc w:val="both"/>
        <w:rPr>
          <w:rFonts w:asciiTheme="minorHAnsi" w:hAnsiTheme="minorHAnsi" w:cstheme="minorHAnsi"/>
          <w:sz w:val="24"/>
          <w:szCs w:val="24"/>
          <w:lang w:val="en-US"/>
        </w:rPr>
      </w:pPr>
      <w:r w:rsidRPr="006358BE">
        <w:rPr>
          <w:rFonts w:asciiTheme="minorHAnsi" w:hAnsiTheme="minorHAnsi" w:cstheme="minorHAnsi"/>
          <w:sz w:val="24"/>
          <w:szCs w:val="24"/>
          <w:lang w:val="en-US"/>
        </w:rPr>
        <w:t>RFQ Nº UNFPA/</w:t>
      </w:r>
      <w:r w:rsidR="00435106" w:rsidRPr="006358BE">
        <w:rPr>
          <w:rFonts w:asciiTheme="minorHAnsi" w:hAnsiTheme="minorHAnsi" w:cstheme="minorHAnsi"/>
          <w:sz w:val="24"/>
          <w:szCs w:val="24"/>
          <w:lang w:val="en-US"/>
        </w:rPr>
        <w:t>GIN</w:t>
      </w:r>
      <w:r w:rsidRPr="006358BE">
        <w:rPr>
          <w:rFonts w:asciiTheme="minorHAnsi" w:hAnsiTheme="minorHAnsi" w:cstheme="minorHAnsi"/>
          <w:sz w:val="24"/>
          <w:szCs w:val="24"/>
          <w:lang w:val="en-US"/>
        </w:rPr>
        <w:t>/RFQ/</w:t>
      </w:r>
      <w:r w:rsidR="00427CB7">
        <w:rPr>
          <w:rFonts w:asciiTheme="minorHAnsi" w:hAnsiTheme="minorHAnsi" w:cstheme="minorHAnsi"/>
          <w:sz w:val="24"/>
          <w:szCs w:val="24"/>
          <w:lang w:val="en-US"/>
        </w:rPr>
        <w:t>22</w:t>
      </w:r>
      <w:r w:rsidRPr="006358BE">
        <w:rPr>
          <w:rFonts w:asciiTheme="minorHAnsi" w:hAnsiTheme="minorHAnsi" w:cstheme="minorHAnsi"/>
          <w:sz w:val="24"/>
          <w:szCs w:val="24"/>
          <w:lang w:val="en-US"/>
        </w:rPr>
        <w:t>/</w:t>
      </w:r>
      <w:r w:rsidR="00435106" w:rsidRPr="006358BE">
        <w:rPr>
          <w:rFonts w:asciiTheme="minorHAnsi" w:hAnsiTheme="minorHAnsi" w:cstheme="minorHAnsi"/>
          <w:sz w:val="24"/>
          <w:szCs w:val="24"/>
          <w:lang w:val="en-US"/>
        </w:rPr>
        <w:t>0</w:t>
      </w:r>
      <w:r w:rsidR="00427CB7">
        <w:rPr>
          <w:rFonts w:asciiTheme="minorHAnsi" w:hAnsiTheme="minorHAnsi" w:cstheme="minorHAnsi"/>
          <w:sz w:val="24"/>
          <w:szCs w:val="24"/>
          <w:lang w:val="en-US"/>
        </w:rPr>
        <w:t>2</w:t>
      </w:r>
    </w:p>
    <w:p w:rsidR="001160D9" w:rsidRPr="006358BE" w:rsidRDefault="007A793C" w:rsidP="006358BE">
      <w:pPr>
        <w:pStyle w:val="Caption"/>
        <w:numPr>
          <w:ilvl w:val="0"/>
          <w:numId w:val="2"/>
        </w:numPr>
        <w:jc w:val="both"/>
        <w:rPr>
          <w:rFonts w:asciiTheme="minorHAnsi" w:hAnsiTheme="minorHAnsi" w:cstheme="minorHAnsi"/>
          <w:sz w:val="24"/>
          <w:szCs w:val="24"/>
        </w:rPr>
      </w:pPr>
      <w:r w:rsidRPr="006358BE">
        <w:rPr>
          <w:rFonts w:asciiTheme="minorHAnsi" w:hAnsiTheme="minorHAnsi" w:cstheme="minorHAnsi"/>
          <w:sz w:val="24"/>
          <w:szCs w:val="24"/>
          <w:lang w:val="en-US"/>
        </w:rPr>
        <w:t xml:space="preserve"> </w:t>
      </w:r>
      <w:r w:rsidRPr="006358BE">
        <w:rPr>
          <w:rFonts w:asciiTheme="minorHAnsi" w:hAnsiTheme="minorHAnsi" w:cstheme="minorHAnsi"/>
          <w:b w:val="0"/>
          <w:sz w:val="24"/>
          <w:szCs w:val="24"/>
        </w:rPr>
        <w:t xml:space="preserve">Les e-mails ne contenant pas l’objet correct pourront ne pas être pris en compte par le fonctionnaire en charge de l’approvisionnement et donc ignorés. </w:t>
      </w:r>
    </w:p>
    <w:p w:rsidR="001160D9" w:rsidRPr="006358BE" w:rsidRDefault="007A793C"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t xml:space="preserve">La taille totale de l’e-mail ne doit pas excéder </w:t>
      </w:r>
      <w:r w:rsidRPr="006358BE">
        <w:rPr>
          <w:rFonts w:asciiTheme="minorHAnsi" w:hAnsiTheme="minorHAnsi" w:cstheme="minorHAnsi"/>
          <w:b/>
          <w:szCs w:val="24"/>
        </w:rPr>
        <w:t>20MB (y compris le corps de l’e-mail, les pièces jointes et les en-têtes)</w:t>
      </w:r>
      <w:r w:rsidRPr="006358BE">
        <w:rPr>
          <w:rFonts w:asciiTheme="minorHAnsi" w:hAnsiTheme="minorHAnsi" w:cstheme="minorHAnsi"/>
          <w:szCs w:val="24"/>
        </w:rPr>
        <w:t xml:space="preserve">. Si les détails techniques sont inclus dans des fichiers électroniques de grande taille, il est recommandé de les envoyer séparément avant la date de clôture. </w:t>
      </w:r>
    </w:p>
    <w:p w:rsidR="00BD067A" w:rsidRPr="006358BE" w:rsidRDefault="00BD067A"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lastRenderedPageBreak/>
        <w:t xml:space="preserve">Toute proposition soumise sera considérée comme une offre du soumissionnaire et ne </w:t>
      </w:r>
      <w:r w:rsidR="0026617D" w:rsidRPr="006358BE">
        <w:rPr>
          <w:rFonts w:asciiTheme="minorHAnsi" w:hAnsiTheme="minorHAnsi" w:cstheme="minorHAnsi"/>
          <w:szCs w:val="24"/>
        </w:rPr>
        <w:t xml:space="preserve">saurait </w:t>
      </w:r>
      <w:r w:rsidRPr="006358BE">
        <w:rPr>
          <w:rFonts w:asciiTheme="minorHAnsi" w:hAnsiTheme="minorHAnsi" w:cstheme="minorHAnsi"/>
          <w:szCs w:val="24"/>
        </w:rPr>
        <w:t>constitue</w:t>
      </w:r>
      <w:r w:rsidR="0026617D" w:rsidRPr="006358BE">
        <w:rPr>
          <w:rFonts w:asciiTheme="minorHAnsi" w:hAnsiTheme="minorHAnsi" w:cstheme="minorHAnsi"/>
          <w:szCs w:val="24"/>
        </w:rPr>
        <w:t>r</w:t>
      </w:r>
      <w:r w:rsidRPr="006358BE">
        <w:rPr>
          <w:rFonts w:asciiTheme="minorHAnsi" w:hAnsiTheme="minorHAnsi" w:cstheme="minorHAnsi"/>
          <w:szCs w:val="24"/>
        </w:rPr>
        <w:t xml:space="preserve"> ni implique</w:t>
      </w:r>
      <w:r w:rsidR="0026617D" w:rsidRPr="006358BE">
        <w:rPr>
          <w:rFonts w:asciiTheme="minorHAnsi" w:hAnsiTheme="minorHAnsi" w:cstheme="minorHAnsi"/>
          <w:szCs w:val="24"/>
        </w:rPr>
        <w:t>r</w:t>
      </w:r>
      <w:r w:rsidRPr="006358BE">
        <w:rPr>
          <w:rFonts w:asciiTheme="minorHAnsi" w:hAnsiTheme="minorHAnsi" w:cstheme="minorHAnsi"/>
          <w:szCs w:val="24"/>
        </w:rPr>
        <w:t xml:space="preserve"> une acceptation de l'UNFPA. L'UNFPA n'est nullement tenu d'attribuer un contrat à un soumissionnaire à la suite de la présente demande de prix.</w:t>
      </w:r>
    </w:p>
    <w:p w:rsidR="004E1FA9" w:rsidRPr="006358BE" w:rsidRDefault="004E1FA9" w:rsidP="006358BE">
      <w:pPr>
        <w:pStyle w:val="letter"/>
        <w:jc w:val="both"/>
        <w:rPr>
          <w:rFonts w:asciiTheme="minorHAnsi" w:hAnsiTheme="minorHAnsi" w:cstheme="minorHAnsi"/>
          <w:szCs w:val="24"/>
        </w:rPr>
      </w:pPr>
    </w:p>
    <w:p w:rsidR="00881153" w:rsidRPr="006358BE" w:rsidRDefault="00881153" w:rsidP="006358BE">
      <w:pPr>
        <w:pStyle w:val="letter"/>
        <w:numPr>
          <w:ilvl w:val="0"/>
          <w:numId w:val="2"/>
        </w:numPr>
        <w:jc w:val="both"/>
        <w:rPr>
          <w:rFonts w:asciiTheme="minorHAnsi" w:hAnsiTheme="minorHAnsi" w:cstheme="minorHAnsi"/>
          <w:szCs w:val="24"/>
        </w:rPr>
      </w:pPr>
      <w:r w:rsidRPr="006358BE">
        <w:rPr>
          <w:rFonts w:asciiTheme="minorHAnsi" w:hAnsiTheme="minorHAnsi" w:cstheme="minorHAnsi"/>
          <w:szCs w:val="24"/>
        </w:rPr>
        <w:t>Toute proposition soumise sera considérée comme une offre du soumissionnaire et ne</w:t>
      </w:r>
      <w:r w:rsidR="00BD4E06" w:rsidRPr="006358BE">
        <w:rPr>
          <w:rFonts w:asciiTheme="minorHAnsi" w:hAnsiTheme="minorHAnsi" w:cstheme="minorHAnsi"/>
          <w:szCs w:val="24"/>
        </w:rPr>
        <w:t xml:space="preserve"> saurait</w:t>
      </w:r>
      <w:r w:rsidRPr="006358BE">
        <w:rPr>
          <w:rFonts w:asciiTheme="minorHAnsi" w:hAnsiTheme="minorHAnsi" w:cstheme="minorHAnsi"/>
          <w:szCs w:val="24"/>
        </w:rPr>
        <w:t xml:space="preserve"> constitue</w:t>
      </w:r>
      <w:r w:rsidR="00BD4E06" w:rsidRPr="006358BE">
        <w:rPr>
          <w:rFonts w:asciiTheme="minorHAnsi" w:hAnsiTheme="minorHAnsi" w:cstheme="minorHAnsi"/>
          <w:szCs w:val="24"/>
        </w:rPr>
        <w:t>r</w:t>
      </w:r>
      <w:r w:rsidRPr="006358BE">
        <w:rPr>
          <w:rFonts w:asciiTheme="minorHAnsi" w:hAnsiTheme="minorHAnsi" w:cstheme="minorHAnsi"/>
          <w:szCs w:val="24"/>
        </w:rPr>
        <w:t xml:space="preserve"> ni implique</w:t>
      </w:r>
      <w:r w:rsidR="00BD4E06" w:rsidRPr="006358BE">
        <w:rPr>
          <w:rFonts w:asciiTheme="minorHAnsi" w:hAnsiTheme="minorHAnsi" w:cstheme="minorHAnsi"/>
          <w:szCs w:val="24"/>
        </w:rPr>
        <w:t>r</w:t>
      </w:r>
      <w:r w:rsidRPr="006358BE">
        <w:rPr>
          <w:rFonts w:asciiTheme="minorHAnsi" w:hAnsiTheme="minorHAnsi" w:cstheme="minorHAnsi"/>
          <w:szCs w:val="24"/>
        </w:rPr>
        <w:t xml:space="preserve"> une acceptation de l'UNFPA. L'UNFPA n'est nullement tenu d'attribuer un contrat à un soumissionnaire à la suite de la présente demande de prix</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Vue d’ensemble du processus d’évaluation</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Les devis seront évalués en fonction de l’offre technique et du coût total des services (devis financiers).</w:t>
      </w:r>
    </w:p>
    <w:p w:rsidR="001160D9" w:rsidRPr="006358BE" w:rsidRDefault="001160D9" w:rsidP="006358BE">
      <w:pPr>
        <w:jc w:val="both"/>
        <w:rPr>
          <w:rFonts w:asciiTheme="minorHAnsi" w:hAnsiTheme="minorHAnsi" w:cstheme="minorHAnsi"/>
          <w:sz w:val="24"/>
          <w:szCs w:val="24"/>
          <w:lang w:eastAsia="en-GB"/>
        </w:rPr>
      </w:pPr>
    </w:p>
    <w:p w:rsidR="001160D9" w:rsidRDefault="007A793C" w:rsidP="002D55AD">
      <w:pPr>
        <w:jc w:val="both"/>
        <w:rPr>
          <w:rFonts w:asciiTheme="minorHAnsi" w:hAnsiTheme="minorHAnsi" w:cstheme="minorHAnsi"/>
          <w:sz w:val="24"/>
          <w:szCs w:val="24"/>
          <w:lang w:eastAsia="en-GB"/>
        </w:rPr>
      </w:pPr>
      <w:r w:rsidRPr="006358BE">
        <w:rPr>
          <w:rFonts w:asciiTheme="minorHAnsi" w:hAnsiTheme="minorHAnsi" w:cstheme="minorHAnsi"/>
          <w:sz w:val="24"/>
          <w:szCs w:val="24"/>
          <w:lang w:eastAsia="en-GB"/>
        </w:rPr>
        <w:t>L’évaluation sera réalisée au moyen d’un processus en deux étapes par une commission d’évaluation ad hoc. La conformité des offres techniques sera évaluée avant la comparaison des devis financiers.</w:t>
      </w:r>
    </w:p>
    <w:p w:rsidR="002D55AD" w:rsidRPr="002D55AD" w:rsidRDefault="002D55AD" w:rsidP="002D55AD">
      <w:pPr>
        <w:jc w:val="both"/>
        <w:rPr>
          <w:rFonts w:asciiTheme="minorHAnsi" w:hAnsiTheme="minorHAnsi" w:cstheme="minorHAnsi"/>
          <w:sz w:val="24"/>
          <w:szCs w:val="24"/>
          <w:lang w:eastAsia="en-GB"/>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Critères d’attribution </w:t>
      </w:r>
    </w:p>
    <w:p w:rsidR="00A63DC5" w:rsidRPr="006358BE" w:rsidRDefault="00A63DC5" w:rsidP="006358BE">
      <w:pPr>
        <w:pStyle w:val="ListParagraph"/>
        <w:ind w:left="360"/>
        <w:jc w:val="both"/>
        <w:rPr>
          <w:rFonts w:asciiTheme="minorHAnsi" w:hAnsiTheme="minorHAnsi" w:cstheme="minorHAnsi"/>
          <w:b/>
          <w:sz w:val="24"/>
          <w:szCs w:val="24"/>
        </w:rPr>
      </w:pPr>
    </w:p>
    <w:p w:rsidR="001160D9" w:rsidRPr="006358BE" w:rsidRDefault="00A63DC5" w:rsidP="006358BE">
      <w:pPr>
        <w:jc w:val="both"/>
        <w:rPr>
          <w:rFonts w:asciiTheme="minorHAnsi" w:hAnsiTheme="minorHAnsi" w:cstheme="minorHAnsi"/>
          <w:sz w:val="24"/>
          <w:szCs w:val="24"/>
        </w:rPr>
      </w:pPr>
      <w:r w:rsidRPr="006358BE">
        <w:rPr>
          <w:rFonts w:asciiTheme="minorHAnsi" w:hAnsiTheme="minorHAnsi" w:cstheme="minorHAnsi"/>
          <w:sz w:val="24"/>
          <w:szCs w:val="24"/>
        </w:rPr>
        <w:t>L’UNFPA attribuera un contrat à l’offre techniquement conforme la moins-disante.</w:t>
      </w:r>
    </w:p>
    <w:p w:rsidR="00A63DC5" w:rsidRPr="006358BE" w:rsidRDefault="00A63DC5" w:rsidP="006358BE">
      <w:pPr>
        <w:jc w:val="both"/>
        <w:rPr>
          <w:rFonts w:asciiTheme="minorHAnsi" w:hAnsiTheme="minorHAnsi" w:cstheme="minorHAnsi"/>
          <w:sz w:val="24"/>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Droit de l’UNFPA de modifier les quantités au moment de l’attribution du marché </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L’UNFPA se réserve le droit, au moment d’attribuer le marché, d’augmenter ou de réduire jusqu’à 20 % les volumes de service spécifiés dans cette </w:t>
      </w:r>
      <w:r w:rsidR="005A2CEE" w:rsidRPr="006358BE">
        <w:rPr>
          <w:rFonts w:asciiTheme="minorHAnsi" w:hAnsiTheme="minorHAnsi" w:cstheme="minorHAnsi"/>
          <w:sz w:val="24"/>
          <w:szCs w:val="24"/>
        </w:rPr>
        <w:t>Demande de Cotation</w:t>
      </w:r>
      <w:r w:rsidRPr="006358BE">
        <w:rPr>
          <w:rFonts w:asciiTheme="minorHAnsi" w:hAnsiTheme="minorHAnsi" w:cstheme="minorHAnsi"/>
          <w:sz w:val="24"/>
          <w:szCs w:val="24"/>
        </w:rPr>
        <w:t>, sans aucune modification du prix à l’unité ou des conditions générales.</w:t>
      </w:r>
    </w:p>
    <w:p w:rsidR="001160D9" w:rsidRPr="006358BE" w:rsidRDefault="001160D9" w:rsidP="006358BE">
      <w:pPr>
        <w:pStyle w:val="letter"/>
        <w:jc w:val="both"/>
        <w:rPr>
          <w:rFonts w:asciiTheme="minorHAnsi" w:hAnsiTheme="minorHAnsi" w:cstheme="minorHAnsi"/>
          <w:b/>
          <w:szCs w:val="24"/>
          <w:u w:val="single"/>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Conditions de paiement.</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Les conditions de paiement de l’UNFPA sont de 30 jours nets à compter de la date de réception de la facture et de la livraison/acceptation des prestations correspondant à l’échéance liée au paiement, comme indiqué dans le contrat.</w:t>
      </w:r>
    </w:p>
    <w:p w:rsidR="001160D9" w:rsidRPr="006358BE" w:rsidRDefault="001160D9"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p>
    <w:p w:rsidR="001160D9" w:rsidRPr="006358BE" w:rsidRDefault="007D10A7" w:rsidP="006358BE">
      <w:pPr>
        <w:pStyle w:val="ListParagraph"/>
        <w:numPr>
          <w:ilvl w:val="0"/>
          <w:numId w:val="6"/>
        </w:numPr>
        <w:jc w:val="both"/>
        <w:rPr>
          <w:rFonts w:asciiTheme="minorHAnsi" w:hAnsiTheme="minorHAnsi" w:cstheme="minorHAnsi"/>
          <w:sz w:val="24"/>
          <w:szCs w:val="24"/>
        </w:rPr>
      </w:pPr>
      <w:hyperlink r:id="rId17" w:anchor="FraudCorruption" w:history="1">
        <w:r w:rsidR="007A793C" w:rsidRPr="006358BE">
          <w:rPr>
            <w:rStyle w:val="InternetLink"/>
            <w:rFonts w:asciiTheme="minorHAnsi" w:hAnsiTheme="minorHAnsi" w:cstheme="minorHAnsi"/>
            <w:b/>
            <w:color w:val="auto"/>
            <w:sz w:val="24"/>
            <w:szCs w:val="24"/>
          </w:rPr>
          <w:t>Fraude et corruption</w:t>
        </w:r>
      </w:hyperlink>
    </w:p>
    <w:p w:rsidR="001160D9" w:rsidRPr="006358BE" w:rsidRDefault="007A793C" w:rsidP="006358BE">
      <w:pPr>
        <w:pStyle w:val="ListParagraph"/>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8" w:anchor="overlay-context=node/10356/draft" w:history="1">
        <w:r w:rsidRPr="006358BE">
          <w:rPr>
            <w:rStyle w:val="InternetLink"/>
            <w:rFonts w:asciiTheme="minorHAnsi" w:hAnsiTheme="minorHAnsi" w:cstheme="minorHAnsi"/>
            <w:color w:val="auto"/>
            <w:sz w:val="24"/>
            <w:szCs w:val="24"/>
          </w:rPr>
          <w:t>Politique contre la fraude</w:t>
        </w:r>
      </w:hyperlink>
      <w:r w:rsidRPr="006358BE">
        <w:rPr>
          <w:rFonts w:asciiTheme="minorHAnsi" w:hAnsiTheme="minorHAnsi" w:cstheme="minorHAnsi"/>
          <w:sz w:val="24"/>
          <w:szCs w:val="24"/>
        </w:rPr>
        <w:t xml:space="preserve">. La soumission de toute offre impliquera que le Soumissionnaire a pris connaissance de ladite politique. </w:t>
      </w:r>
    </w:p>
    <w:p w:rsidR="001160D9" w:rsidRPr="006358BE" w:rsidRDefault="001160D9" w:rsidP="006358BE">
      <w:pPr>
        <w:spacing w:line="276" w:lineRule="auto"/>
        <w:contextualSpacing/>
        <w:jc w:val="both"/>
        <w:rPr>
          <w:rFonts w:asciiTheme="minorHAnsi" w:hAnsiTheme="minorHAnsi" w:cstheme="minorHAnsi"/>
          <w:sz w:val="24"/>
          <w:szCs w:val="24"/>
        </w:rPr>
      </w:pP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Les fournisseurs, ainsi que leurs </w:t>
      </w:r>
      <w:r w:rsidR="00930BB4" w:rsidRPr="006358BE">
        <w:rPr>
          <w:rFonts w:asciiTheme="minorHAnsi" w:hAnsiTheme="minorHAnsi" w:cstheme="minorHAnsi"/>
          <w:sz w:val="24"/>
          <w:szCs w:val="24"/>
        </w:rPr>
        <w:t>filiales</w:t>
      </w:r>
      <w:r w:rsidRPr="006358BE">
        <w:rPr>
          <w:rFonts w:asciiTheme="minorHAnsi" w:hAnsiTheme="minorHAnsi" w:cstheme="minorHAnsi"/>
          <w:sz w:val="24"/>
          <w:szCs w:val="24"/>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w:t>
      </w:r>
      <w:r w:rsidRPr="006358BE">
        <w:rPr>
          <w:rFonts w:asciiTheme="minorHAnsi" w:hAnsiTheme="minorHAnsi" w:cstheme="minorHAnsi"/>
          <w:sz w:val="24"/>
          <w:szCs w:val="24"/>
        </w:rPr>
        <w:lastRenderedPageBreak/>
        <w:t xml:space="preserve">mise à disposition de tous les documents nécessaires, y compris la comptabilité. </w:t>
      </w:r>
      <w:r w:rsidR="00930BB4" w:rsidRPr="006358BE">
        <w:rPr>
          <w:rFonts w:asciiTheme="minorHAnsi" w:hAnsiTheme="minorHAnsi" w:cstheme="minorHAnsi"/>
          <w:sz w:val="24"/>
          <w:szCs w:val="24"/>
        </w:rPr>
        <w:t xml:space="preserve">Toute </w:t>
      </w:r>
      <w:r w:rsidRPr="006358BE">
        <w:rPr>
          <w:rFonts w:asciiTheme="minorHAnsi" w:hAnsiTheme="minorHAnsi" w:cstheme="minorHAnsi"/>
          <w:sz w:val="24"/>
          <w:szCs w:val="24"/>
        </w:rPr>
        <w:t xml:space="preserve">on-coopération </w:t>
      </w:r>
      <w:r w:rsidR="00930BB4" w:rsidRPr="006358BE">
        <w:rPr>
          <w:rFonts w:asciiTheme="minorHAnsi" w:hAnsiTheme="minorHAnsi" w:cstheme="minorHAnsi"/>
          <w:sz w:val="24"/>
          <w:szCs w:val="24"/>
        </w:rPr>
        <w:t xml:space="preserve">aux investigations menées constitue </w:t>
      </w:r>
      <w:r w:rsidRPr="006358BE">
        <w:rPr>
          <w:rFonts w:asciiTheme="minorHAnsi" w:hAnsiTheme="minorHAnsi" w:cstheme="minorHAnsi"/>
          <w:sz w:val="24"/>
          <w:szCs w:val="24"/>
        </w:rPr>
        <w:t xml:space="preserve">une raison suffisante pour que l’UNFPA résilie </w:t>
      </w:r>
      <w:r w:rsidR="008D16C3" w:rsidRPr="006358BE">
        <w:rPr>
          <w:rFonts w:asciiTheme="minorHAnsi" w:hAnsiTheme="minorHAnsi" w:cstheme="minorHAnsi"/>
          <w:sz w:val="24"/>
          <w:szCs w:val="24"/>
        </w:rPr>
        <w:t xml:space="preserve">l`accord </w:t>
      </w:r>
      <w:r w:rsidRPr="006358BE">
        <w:rPr>
          <w:rFonts w:asciiTheme="minorHAnsi" w:hAnsiTheme="minorHAnsi" w:cstheme="minorHAnsi"/>
          <w:sz w:val="24"/>
          <w:szCs w:val="24"/>
        </w:rPr>
        <w:t xml:space="preserve"> et pour retirer le fournisseur de la liste des fournisseurs </w:t>
      </w:r>
      <w:r w:rsidR="00930BB4" w:rsidRPr="006358BE">
        <w:rPr>
          <w:rFonts w:asciiTheme="minorHAnsi" w:hAnsiTheme="minorHAnsi" w:cstheme="minorHAnsi"/>
          <w:sz w:val="24"/>
          <w:szCs w:val="24"/>
        </w:rPr>
        <w:t xml:space="preserve">agréés </w:t>
      </w:r>
      <w:r w:rsidRPr="006358BE">
        <w:rPr>
          <w:rFonts w:asciiTheme="minorHAnsi" w:hAnsiTheme="minorHAnsi" w:cstheme="minorHAnsi"/>
          <w:sz w:val="24"/>
          <w:szCs w:val="24"/>
        </w:rPr>
        <w:t>auprès de l’UNFPA.</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spacing w:line="276" w:lineRule="auto"/>
        <w:contextualSpacing/>
        <w:jc w:val="both"/>
        <w:rPr>
          <w:rFonts w:asciiTheme="minorHAnsi" w:hAnsiTheme="minorHAnsi" w:cstheme="minorHAnsi"/>
          <w:sz w:val="24"/>
          <w:szCs w:val="24"/>
        </w:rPr>
      </w:pPr>
      <w:r w:rsidRPr="006358BE">
        <w:rPr>
          <w:rFonts w:asciiTheme="minorHAnsi" w:hAnsiTheme="minorHAnsi" w:cstheme="minorHAnsi"/>
          <w:sz w:val="24"/>
          <w:szCs w:val="24"/>
        </w:rPr>
        <w:t xml:space="preserve">Les soumissionnaires peuvent accéder à une ligne anti-fraude confidentielle pour dénoncer les activités frauduleuses à l’adresse suivante : </w:t>
      </w:r>
      <w:hyperlink r:id="rId19">
        <w:r w:rsidRPr="006358BE">
          <w:rPr>
            <w:rStyle w:val="InternetLink"/>
            <w:rFonts w:asciiTheme="minorHAnsi" w:hAnsiTheme="minorHAnsi" w:cstheme="minorHAnsi"/>
            <w:color w:val="auto"/>
            <w:sz w:val="24"/>
            <w:szCs w:val="24"/>
          </w:rPr>
          <w:t>Ligne anti-fraude de l’UNFPA</w:t>
        </w:r>
      </w:hyperlink>
      <w:r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sz w:val="24"/>
          <w:szCs w:val="24"/>
        </w:rPr>
      </w:pPr>
      <w:r w:rsidRPr="006358BE">
        <w:rPr>
          <w:rFonts w:asciiTheme="minorHAnsi" w:hAnsiTheme="minorHAnsi" w:cstheme="minorHAnsi"/>
          <w:b/>
          <w:sz w:val="24"/>
          <w:szCs w:val="24"/>
        </w:rPr>
        <w:t>Politique de tolérance zéro</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sz w:val="24"/>
          <w:szCs w:val="24"/>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20" w:anchor="ZeroTolerance" w:history="1">
        <w:r w:rsidRPr="006358BE">
          <w:rPr>
            <w:rStyle w:val="InternetLink"/>
            <w:rFonts w:asciiTheme="minorHAnsi" w:hAnsiTheme="minorHAnsi" w:cstheme="minorHAnsi"/>
            <w:color w:val="auto"/>
            <w:sz w:val="24"/>
            <w:szCs w:val="24"/>
            <w:lang w:eastAsia="en-GB"/>
          </w:rPr>
          <w:t>Politique de tolérance zéro</w:t>
        </w:r>
      </w:hyperlink>
      <w:r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 xml:space="preserve">Contestation </w:t>
      </w:r>
      <w:r w:rsidR="00930BB4" w:rsidRPr="006358BE">
        <w:rPr>
          <w:rFonts w:asciiTheme="minorHAnsi" w:hAnsiTheme="minorHAnsi" w:cstheme="minorHAnsi"/>
          <w:b/>
          <w:sz w:val="24"/>
          <w:szCs w:val="24"/>
        </w:rPr>
        <w:t xml:space="preserve">du processus de Demande de cotation </w:t>
      </w:r>
    </w:p>
    <w:p w:rsidR="00930BB4" w:rsidRPr="006358BE" w:rsidRDefault="00930BB4" w:rsidP="006358BE">
      <w:pPr>
        <w:jc w:val="both"/>
        <w:rPr>
          <w:rFonts w:asciiTheme="minorHAnsi" w:hAnsiTheme="minorHAnsi" w:cstheme="minorHAnsi"/>
          <w:b/>
          <w:sz w:val="24"/>
          <w:szCs w:val="24"/>
        </w:rPr>
      </w:pPr>
    </w:p>
    <w:p w:rsidR="001160D9" w:rsidRPr="006358BE" w:rsidRDefault="00A63DC5" w:rsidP="006358BE">
      <w:pPr>
        <w:tabs>
          <w:tab w:val="left" w:pos="851"/>
        </w:tabs>
        <w:spacing w:line="276" w:lineRule="auto"/>
        <w:contextualSpacing/>
        <w:jc w:val="both"/>
        <w:rPr>
          <w:rFonts w:asciiTheme="minorHAnsi" w:hAnsiTheme="minorHAnsi" w:cstheme="minorHAnsi"/>
          <w:sz w:val="24"/>
          <w:szCs w:val="24"/>
        </w:rPr>
      </w:pPr>
      <w:r w:rsidRPr="006358BE">
        <w:rPr>
          <w:rFonts w:asciiTheme="minorHAnsi" w:hAnsiTheme="minorHAnsi" w:cstheme="minorHAnsi"/>
          <w:sz w:val="24"/>
          <w:szCs w:val="24"/>
          <w:highlight w:val="cyan"/>
        </w:rPr>
        <w:t xml:space="preserve"> </w:t>
      </w:r>
      <w:r w:rsidR="007A793C" w:rsidRPr="006358BE">
        <w:rPr>
          <w:rFonts w:asciiTheme="minorHAnsi" w:hAnsiTheme="minorHAnsi" w:cstheme="minorHAnsi"/>
          <w:sz w:val="24"/>
          <w:szCs w:val="24"/>
        </w:rPr>
        <w:t xml:space="preserve">Les soumissionnaires qui estiment avoir été traités injustement ou inéquitablement dans le cadre de l’appel d’offres, de l’évaluation ou de l’adjudication d’un contrat pourront envoyer une réclamation au chef de l’unité concernée de l’UNFPA à l’adresse suivante : </w:t>
      </w:r>
      <w:r w:rsidR="00427CB7">
        <w:rPr>
          <w:rFonts w:asciiTheme="minorHAnsi" w:hAnsiTheme="minorHAnsi" w:cstheme="minorHAnsi"/>
          <w:sz w:val="24"/>
          <w:szCs w:val="24"/>
        </w:rPr>
        <w:t>perna</w:t>
      </w:r>
      <w:r w:rsidRPr="006358BE">
        <w:rPr>
          <w:rFonts w:asciiTheme="minorHAnsi" w:hAnsiTheme="minorHAnsi" w:cstheme="minorHAnsi"/>
          <w:sz w:val="24"/>
          <w:szCs w:val="24"/>
        </w:rPr>
        <w:t>@unfpa.org</w:t>
      </w:r>
      <w:r w:rsidR="007A793C" w:rsidRPr="006358BE">
        <w:rPr>
          <w:rFonts w:asciiTheme="minorHAnsi" w:hAnsiTheme="minorHAnsi" w:cstheme="minorHAnsi"/>
          <w:sz w:val="24"/>
          <w:szCs w:val="24"/>
        </w:rPr>
        <w:t xml:space="preserve">. Si le fournisseur n’est pas satisfait de la réponse fournie par le chef de l’unité concernée, il peut contacter le Chef de la Division des services d’approvisionnement (PSB) à l’adresse </w:t>
      </w:r>
      <w:hyperlink r:id="rId21">
        <w:r w:rsidR="007A793C" w:rsidRPr="006358BE">
          <w:rPr>
            <w:rStyle w:val="InternetLink"/>
            <w:rFonts w:asciiTheme="minorHAnsi" w:hAnsiTheme="minorHAnsi" w:cstheme="minorHAnsi"/>
            <w:color w:val="auto"/>
            <w:sz w:val="24"/>
            <w:szCs w:val="24"/>
          </w:rPr>
          <w:t>procurement@unfpa.org</w:t>
        </w:r>
      </w:hyperlink>
      <w:bookmarkStart w:id="21" w:name="_Toc368998656"/>
      <w:bookmarkEnd w:id="21"/>
      <w:r w:rsidR="007A793C" w:rsidRPr="006358BE">
        <w:rPr>
          <w:rFonts w:asciiTheme="minorHAnsi" w:hAnsiTheme="minorHAnsi" w:cstheme="minorHAnsi"/>
          <w:sz w:val="24"/>
          <w:szCs w:val="24"/>
        </w:rPr>
        <w:t>.</w:t>
      </w:r>
    </w:p>
    <w:p w:rsidR="001160D9" w:rsidRPr="006358BE" w:rsidRDefault="001160D9" w:rsidP="006358BE">
      <w:pPr>
        <w:pStyle w:val="letter"/>
        <w:jc w:val="both"/>
        <w:rPr>
          <w:rFonts w:asciiTheme="minorHAnsi" w:hAnsiTheme="minorHAnsi" w:cstheme="minorHAnsi"/>
          <w:szCs w:val="24"/>
        </w:rPr>
      </w:pPr>
    </w:p>
    <w:p w:rsidR="001160D9" w:rsidRPr="006358BE" w:rsidRDefault="001160D9" w:rsidP="006358BE">
      <w:pPr>
        <w:pStyle w:val="letter"/>
        <w:jc w:val="both"/>
        <w:rPr>
          <w:rFonts w:asciiTheme="minorHAnsi" w:hAnsiTheme="minorHAnsi" w:cstheme="minorHAnsi"/>
          <w:szCs w:val="24"/>
        </w:rPr>
      </w:pPr>
    </w:p>
    <w:p w:rsidR="001160D9" w:rsidRPr="006358BE" w:rsidRDefault="007A793C" w:rsidP="006358BE">
      <w:pPr>
        <w:pStyle w:val="ListParagraph"/>
        <w:numPr>
          <w:ilvl w:val="0"/>
          <w:numId w:val="6"/>
        </w:numPr>
        <w:jc w:val="both"/>
        <w:rPr>
          <w:rFonts w:asciiTheme="minorHAnsi" w:hAnsiTheme="minorHAnsi" w:cstheme="minorHAnsi"/>
          <w:b/>
          <w:sz w:val="24"/>
          <w:szCs w:val="24"/>
        </w:rPr>
      </w:pPr>
      <w:r w:rsidRPr="006358BE">
        <w:rPr>
          <w:rFonts w:asciiTheme="minorHAnsi" w:hAnsiTheme="minorHAnsi" w:cstheme="minorHAnsi"/>
          <w:b/>
          <w:sz w:val="24"/>
          <w:szCs w:val="24"/>
        </w:rPr>
        <w:t>Avertissement</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Si un des liens contenus dans ce document est indisponible ou inaccessible pour quelque raison que ce soit, les soumissionnaires peuvent contacter le fonctionnaire en charge de l’approvisionnement pour demander ces documents au format PDF.</w:t>
      </w: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br w:type="page"/>
      </w:r>
    </w:p>
    <w:p w:rsidR="001160D9" w:rsidRPr="006358BE" w:rsidRDefault="00AB54F2" w:rsidP="006358BE">
      <w:pPr>
        <w:pStyle w:val="Caption"/>
        <w:jc w:val="both"/>
        <w:rPr>
          <w:rFonts w:asciiTheme="minorHAnsi" w:hAnsiTheme="minorHAnsi" w:cstheme="minorHAnsi"/>
          <w:caps/>
          <w:sz w:val="24"/>
          <w:szCs w:val="24"/>
        </w:rPr>
      </w:pPr>
      <w:r w:rsidRPr="006358BE">
        <w:rPr>
          <w:rFonts w:asciiTheme="minorHAnsi" w:hAnsiTheme="minorHAnsi" w:cstheme="minorHAnsi"/>
          <w:sz w:val="24"/>
          <w:szCs w:val="24"/>
        </w:rPr>
        <w:lastRenderedPageBreak/>
        <w:t>Bordereau de prix</w:t>
      </w:r>
    </w:p>
    <w:p w:rsidR="001160D9" w:rsidRPr="006358BE" w:rsidRDefault="001160D9" w:rsidP="006358BE">
      <w:pPr>
        <w:jc w:val="both"/>
        <w:rPr>
          <w:rFonts w:asciiTheme="minorHAnsi" w:hAnsiTheme="minorHAnsi" w:cstheme="minorHAnsi"/>
          <w:sz w:val="24"/>
          <w:szCs w:val="24"/>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b/>
                <w:bCs/>
                <w:sz w:val="24"/>
                <w:szCs w:val="24"/>
              </w:rPr>
            </w:pPr>
            <w:r w:rsidRPr="006358BE">
              <w:rPr>
                <w:rFonts w:asciiTheme="minorHAnsi" w:hAnsiTheme="minorHAnsi" w:cstheme="minorHAnsi"/>
                <w:b/>
                <w:bCs/>
                <w:sz w:val="24"/>
                <w:szCs w:val="24"/>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1160D9" w:rsidP="006358BE">
            <w:pPr>
              <w:jc w:val="both"/>
              <w:rPr>
                <w:rFonts w:asciiTheme="minorHAnsi" w:hAnsiTheme="minorHAnsi" w:cstheme="minorHAnsi"/>
                <w:bCs/>
                <w:sz w:val="24"/>
                <w:szCs w:val="24"/>
              </w:rPr>
            </w:pP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Date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7D10A7" w:rsidP="006358BE">
            <w:pPr>
              <w:jc w:val="both"/>
              <w:rPr>
                <w:rFonts w:asciiTheme="minorHAnsi" w:hAnsiTheme="minorHAnsi" w:cstheme="minorHAnsi"/>
                <w:bCs/>
                <w:sz w:val="24"/>
                <w:szCs w:val="24"/>
              </w:rPr>
            </w:pPr>
            <w:sdt>
              <w:sdtPr>
                <w:rPr>
                  <w:rFonts w:asciiTheme="minorHAnsi" w:hAnsiTheme="minorHAnsi" w:cstheme="minorHAnsi"/>
                  <w:sz w:val="24"/>
                  <w:szCs w:val="24"/>
                </w:rPr>
                <w:id w:val="-1451394394"/>
                <w:date>
                  <w:dateFormat w:val="dd/MM/yyyy"/>
                  <w:lid w:val="en-GB"/>
                  <w:storeMappedDataAs w:val="dateTime"/>
                  <w:calendar w:val="gregorian"/>
                </w:date>
              </w:sdtPr>
              <w:sdtEndPr/>
              <w:sdtContent>
                <w:r w:rsidR="007A793C" w:rsidRPr="006358BE">
                  <w:rPr>
                    <w:rFonts w:asciiTheme="minorHAnsi" w:hAnsiTheme="minorHAnsi" w:cstheme="minorHAnsi"/>
                    <w:sz w:val="24"/>
                    <w:szCs w:val="24"/>
                  </w:rPr>
                  <w:t>Cliquez ici pour indiquer une date.</w:t>
                </w:r>
              </w:sdtContent>
            </w:sdt>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Numéro de la demande de </w:t>
            </w:r>
            <w:r w:rsidR="00AB54F2" w:rsidRPr="006358BE">
              <w:rPr>
                <w:rFonts w:asciiTheme="minorHAnsi" w:hAnsiTheme="minorHAnsi" w:cstheme="minorHAnsi"/>
                <w:b/>
                <w:bCs/>
                <w:sz w:val="24"/>
                <w:szCs w:val="24"/>
              </w:rPr>
              <w:t>la cotation </w:t>
            </w:r>
            <w:r w:rsidRPr="006358BE">
              <w:rPr>
                <w:rFonts w:asciiTheme="minorHAnsi" w:hAnsiTheme="minorHAnsi" w:cstheme="minorHAnsi"/>
                <w:b/>
                <w:bCs/>
                <w:sz w:val="24"/>
                <w:szCs w:val="24"/>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7A793C" w:rsidP="002D55AD">
            <w:pPr>
              <w:jc w:val="both"/>
              <w:rPr>
                <w:rFonts w:asciiTheme="minorHAnsi" w:hAnsiTheme="minorHAnsi" w:cstheme="minorHAnsi"/>
                <w:bCs/>
                <w:sz w:val="24"/>
                <w:szCs w:val="24"/>
                <w:lang w:val="es-ES"/>
              </w:rPr>
            </w:pPr>
            <w:r w:rsidRPr="006358BE">
              <w:rPr>
                <w:rFonts w:asciiTheme="minorHAnsi" w:hAnsiTheme="minorHAnsi" w:cstheme="minorHAnsi"/>
                <w:sz w:val="24"/>
                <w:szCs w:val="24"/>
              </w:rPr>
              <w:t>UNFPA/</w:t>
            </w:r>
            <w:r w:rsidR="00A63DC5" w:rsidRPr="006358BE">
              <w:rPr>
                <w:rFonts w:asciiTheme="minorHAnsi" w:hAnsiTheme="minorHAnsi" w:cstheme="minorHAnsi"/>
                <w:sz w:val="24"/>
                <w:szCs w:val="24"/>
              </w:rPr>
              <w:t>GIN</w:t>
            </w:r>
            <w:r w:rsidRPr="006358BE">
              <w:rPr>
                <w:rFonts w:asciiTheme="minorHAnsi" w:hAnsiTheme="minorHAnsi" w:cstheme="minorHAnsi"/>
                <w:sz w:val="24"/>
                <w:szCs w:val="24"/>
              </w:rPr>
              <w:t>/RFQ/</w:t>
            </w:r>
            <w:r w:rsidR="00427CB7">
              <w:rPr>
                <w:rFonts w:asciiTheme="minorHAnsi" w:hAnsiTheme="minorHAnsi" w:cstheme="minorHAnsi"/>
                <w:sz w:val="24"/>
                <w:szCs w:val="24"/>
              </w:rPr>
              <w:t>22</w:t>
            </w:r>
            <w:r w:rsidRPr="006358BE">
              <w:rPr>
                <w:rFonts w:asciiTheme="minorHAnsi" w:hAnsiTheme="minorHAnsi" w:cstheme="minorHAnsi"/>
                <w:sz w:val="24"/>
                <w:szCs w:val="24"/>
              </w:rPr>
              <w:t>/</w:t>
            </w:r>
            <w:r w:rsidR="00A63DC5" w:rsidRPr="006358BE">
              <w:rPr>
                <w:rFonts w:asciiTheme="minorHAnsi" w:hAnsiTheme="minorHAnsi" w:cstheme="minorHAnsi"/>
                <w:sz w:val="24"/>
                <w:szCs w:val="24"/>
              </w:rPr>
              <w:t>0</w:t>
            </w:r>
            <w:r w:rsidR="00427CB7">
              <w:rPr>
                <w:rFonts w:asciiTheme="minorHAnsi" w:hAnsiTheme="minorHAnsi" w:cstheme="minorHAnsi"/>
                <w:sz w:val="24"/>
                <w:szCs w:val="24"/>
              </w:rPr>
              <w:t>2</w:t>
            </w: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Devise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A63DC5" w:rsidP="006358BE">
            <w:pPr>
              <w:jc w:val="both"/>
              <w:rPr>
                <w:rFonts w:asciiTheme="minorHAnsi" w:hAnsiTheme="minorHAnsi" w:cstheme="minorHAnsi"/>
                <w:bCs/>
                <w:sz w:val="24"/>
                <w:szCs w:val="24"/>
              </w:rPr>
            </w:pPr>
            <w:r w:rsidRPr="006358BE">
              <w:rPr>
                <w:rFonts w:asciiTheme="minorHAnsi" w:hAnsiTheme="minorHAnsi" w:cstheme="minorHAnsi"/>
                <w:bCs/>
                <w:sz w:val="24"/>
                <w:szCs w:val="24"/>
              </w:rPr>
              <w:t>GNF</w:t>
            </w:r>
          </w:p>
        </w:tc>
      </w:tr>
      <w:tr w:rsidR="006358BE"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b/>
                <w:bCs/>
                <w:sz w:val="24"/>
                <w:szCs w:val="24"/>
              </w:rPr>
            </w:pPr>
            <w:r w:rsidRPr="006358BE">
              <w:rPr>
                <w:rFonts w:asciiTheme="minorHAnsi" w:hAnsiTheme="minorHAnsi" w:cstheme="minorHAnsi"/>
                <w:b/>
                <w:bCs/>
                <w:sz w:val="24"/>
                <w:szCs w:val="24"/>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7D10A7" w:rsidP="006358BE">
            <w:pPr>
              <w:jc w:val="both"/>
              <w:rPr>
                <w:rFonts w:asciiTheme="minorHAnsi" w:hAnsiTheme="minorHAnsi" w:cstheme="minorHAnsi"/>
                <w:bCs/>
                <w:sz w:val="24"/>
                <w:szCs w:val="24"/>
              </w:rPr>
            </w:pPr>
            <w:sdt>
              <w:sdtPr>
                <w:rPr>
                  <w:rFonts w:asciiTheme="minorHAnsi" w:hAnsiTheme="minorHAnsi" w:cstheme="minorHAnsi"/>
                  <w:sz w:val="24"/>
                  <w:szCs w:val="24"/>
                </w:rPr>
                <w:id w:val="-1941752187"/>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7A793C" w:rsidRPr="006358BE">
                  <w:rPr>
                    <w:rFonts w:asciiTheme="minorHAnsi" w:hAnsiTheme="minorHAnsi" w:cstheme="minorHAnsi"/>
                    <w:sz w:val="24"/>
                    <w:szCs w:val="24"/>
                  </w:rPr>
                  <w:t>Sélectionner une règle.</w:t>
                </w:r>
              </w:sdtContent>
            </w:sdt>
          </w:p>
        </w:tc>
      </w:tr>
      <w:tr w:rsidR="001160D9" w:rsidRPr="006358BE">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bCs/>
                <w:sz w:val="24"/>
                <w:szCs w:val="24"/>
              </w:rPr>
              <w:t xml:space="preserve">Durée de validité </w:t>
            </w:r>
            <w:r w:rsidR="00AB54F2" w:rsidRPr="006358BE">
              <w:rPr>
                <w:rFonts w:asciiTheme="minorHAnsi" w:hAnsiTheme="minorHAnsi" w:cstheme="minorHAnsi"/>
                <w:b/>
                <w:bCs/>
                <w:sz w:val="24"/>
                <w:szCs w:val="24"/>
              </w:rPr>
              <w:t>de la cotation</w:t>
            </w:r>
            <w:r w:rsidRPr="006358BE">
              <w:rPr>
                <w:rFonts w:asciiTheme="minorHAnsi" w:hAnsiTheme="minorHAnsi" w:cstheme="minorHAnsi"/>
                <w:b/>
                <w:bCs/>
                <w:sz w:val="24"/>
                <w:szCs w:val="24"/>
              </w:rPr>
              <w:t> :</w:t>
            </w:r>
          </w:p>
          <w:p w:rsidR="001160D9" w:rsidRPr="006358BE" w:rsidRDefault="007A793C" w:rsidP="006358BE">
            <w:pPr>
              <w:jc w:val="both"/>
              <w:rPr>
                <w:rFonts w:asciiTheme="minorHAnsi" w:hAnsiTheme="minorHAnsi" w:cstheme="minorHAnsi"/>
                <w:b/>
                <w:bCs/>
                <w:i/>
                <w:sz w:val="24"/>
                <w:szCs w:val="24"/>
              </w:rPr>
            </w:pPr>
            <w:r w:rsidRPr="006358BE">
              <w:rPr>
                <w:rFonts w:asciiTheme="minorHAnsi" w:hAnsiTheme="minorHAnsi" w:cstheme="minorHAnsi"/>
                <w:i/>
                <w:iCs/>
                <w:sz w:val="24"/>
                <w:szCs w:val="24"/>
              </w:rPr>
              <w:t>(Le devis doit être valide pour une période d’au moins trois mois</w:t>
            </w:r>
            <w:r w:rsidRPr="006358BE">
              <w:rPr>
                <w:rFonts w:asciiTheme="minorHAnsi" w:hAnsiTheme="minorHAnsi" w:cstheme="minorHAnsi"/>
                <w:i/>
                <w:sz w:val="24"/>
                <w:szCs w:val="24"/>
              </w:rPr>
              <w:t xml:space="preserve"> </w:t>
            </w:r>
            <w:r w:rsidRPr="006358BE">
              <w:rPr>
                <w:rFonts w:asciiTheme="minorHAnsi" w:hAnsiTheme="minorHAnsi" w:cstheme="minorHAnsi"/>
                <w:i/>
                <w:iCs/>
                <w:sz w:val="24"/>
                <w:szCs w:val="24"/>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1160D9" w:rsidRPr="006358BE" w:rsidRDefault="001160D9" w:rsidP="006358BE">
            <w:pPr>
              <w:jc w:val="both"/>
              <w:rPr>
                <w:rFonts w:asciiTheme="minorHAnsi" w:hAnsiTheme="minorHAnsi" w:cstheme="minorHAnsi"/>
                <w:bCs/>
                <w:sz w:val="24"/>
                <w:szCs w:val="24"/>
              </w:rPr>
            </w:pPr>
          </w:p>
        </w:tc>
      </w:tr>
    </w:tbl>
    <w:p w:rsidR="001160D9" w:rsidRPr="006358BE" w:rsidRDefault="001160D9" w:rsidP="006358BE">
      <w:pPr>
        <w:pStyle w:val="Title"/>
        <w:jc w:val="both"/>
        <w:rPr>
          <w:rFonts w:asciiTheme="minorHAnsi" w:hAnsiTheme="minorHAnsi" w:cstheme="minorHAnsi"/>
          <w:b w:val="0"/>
          <w:szCs w:val="24"/>
          <w:u w:val="none"/>
        </w:rPr>
      </w:pPr>
    </w:p>
    <w:p w:rsidR="001160D9" w:rsidRPr="006358BE" w:rsidRDefault="007A793C" w:rsidP="006358BE">
      <w:pPr>
        <w:pStyle w:val="ListParagraph"/>
        <w:numPr>
          <w:ilvl w:val="0"/>
          <w:numId w:val="5"/>
        </w:numPr>
        <w:tabs>
          <w:tab w:val="left" w:pos="2160"/>
        </w:tabs>
        <w:ind w:left="426" w:hanging="426"/>
        <w:jc w:val="both"/>
        <w:rPr>
          <w:rFonts w:asciiTheme="minorHAnsi" w:hAnsiTheme="minorHAnsi" w:cstheme="minorHAnsi"/>
          <w:sz w:val="24"/>
          <w:szCs w:val="24"/>
        </w:rPr>
      </w:pPr>
      <w:r w:rsidRPr="006358BE">
        <w:rPr>
          <w:rFonts w:asciiTheme="minorHAnsi" w:hAnsiTheme="minorHAnsi" w:cstheme="minorHAnsi"/>
          <w:sz w:val="24"/>
          <w:szCs w:val="24"/>
        </w:rPr>
        <w:t xml:space="preserve">L’UNFPA étant exempt d’impôts, tous les tarifs communiqués </w:t>
      </w:r>
      <w:r w:rsidRPr="006358BE">
        <w:rPr>
          <w:rFonts w:asciiTheme="minorHAnsi" w:hAnsiTheme="minorHAnsi" w:cstheme="minorHAnsi"/>
          <w:b/>
          <w:sz w:val="24"/>
          <w:szCs w:val="24"/>
        </w:rPr>
        <w:t>ne doivent pas inclure de taxes</w:t>
      </w:r>
      <w:r w:rsidRPr="006358BE">
        <w:rPr>
          <w:rFonts w:asciiTheme="minorHAnsi" w:hAnsiTheme="minorHAnsi" w:cstheme="minorHAnsi"/>
          <w:sz w:val="24"/>
          <w:szCs w:val="24"/>
        </w:rPr>
        <w:t xml:space="preserve">. </w:t>
      </w:r>
    </w:p>
    <w:p w:rsidR="001160D9" w:rsidRPr="006358BE" w:rsidRDefault="001160D9" w:rsidP="006358BE">
      <w:pPr>
        <w:pStyle w:val="Title"/>
        <w:jc w:val="both"/>
        <w:rPr>
          <w:rFonts w:asciiTheme="minorHAnsi" w:hAnsiTheme="minorHAnsi" w:cstheme="minorHAnsi"/>
          <w:szCs w:val="24"/>
        </w:rPr>
      </w:pPr>
    </w:p>
    <w:tbl>
      <w:tblPr>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50"/>
        <w:gridCol w:w="3733"/>
        <w:gridCol w:w="1512"/>
        <w:gridCol w:w="1218"/>
        <w:gridCol w:w="1338"/>
        <w:gridCol w:w="1202"/>
      </w:tblGrid>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Article</w:t>
            </w:r>
          </w:p>
        </w:tc>
        <w:tc>
          <w:tcPr>
            <w:tcW w:w="39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Description</w:t>
            </w:r>
          </w:p>
        </w:tc>
        <w:tc>
          <w:tcPr>
            <w:tcW w:w="15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da-DK"/>
              </w:rPr>
            </w:pPr>
            <w:r w:rsidRPr="006358BE">
              <w:rPr>
                <w:rFonts w:asciiTheme="minorHAnsi" w:eastAsia="Calibri" w:hAnsiTheme="minorHAnsi" w:cstheme="minorHAnsi"/>
                <w:sz w:val="24"/>
                <w:szCs w:val="24"/>
              </w:rPr>
              <w:t>Nombre et description du personnel par niveau</w:t>
            </w:r>
          </w:p>
        </w:tc>
        <w:tc>
          <w:tcPr>
            <w:tcW w:w="12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Tarif horaire</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 xml:space="preserve">Nombre d’heures nécessaires </w:t>
            </w:r>
          </w:p>
        </w:tc>
        <w:tc>
          <w:tcPr>
            <w:tcW w:w="1245"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rsidR="001160D9" w:rsidRPr="006358BE" w:rsidRDefault="007A793C"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Total</w:t>
            </w:r>
          </w:p>
        </w:tc>
      </w:tr>
      <w:tr w:rsidR="006358BE" w:rsidRPr="006358BE">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1160D9" w:rsidRPr="006358BE" w:rsidRDefault="007A793C" w:rsidP="006358BE">
            <w:pPr>
              <w:pStyle w:val="ListParagraph"/>
              <w:numPr>
                <w:ilvl w:val="0"/>
                <w:numId w:val="4"/>
              </w:num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Frais professionnels</w:t>
            </w: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7A793C" w:rsidP="006358BE">
            <w:pPr>
              <w:jc w:val="both"/>
              <w:rPr>
                <w:rFonts w:asciiTheme="minorHAnsi" w:eastAsia="Calibri" w:hAnsiTheme="minorHAnsi" w:cstheme="minorHAnsi"/>
                <w:i/>
                <w:sz w:val="24"/>
                <w:szCs w:val="24"/>
                <w:lang w:val="en-GB"/>
              </w:rPr>
            </w:pPr>
            <w:r w:rsidRPr="006358BE">
              <w:rPr>
                <w:rFonts w:asciiTheme="minorHAnsi" w:eastAsia="Calibri" w:hAnsiTheme="minorHAnsi" w:cstheme="minorHAnsi"/>
                <w:i/>
                <w:sz w:val="24"/>
                <w:szCs w:val="24"/>
              </w:rPr>
              <w:t>Total des frais professionnels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r w:rsidR="006358BE" w:rsidRPr="006358BE">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rsidR="001160D9" w:rsidRPr="006358BE" w:rsidRDefault="007A793C" w:rsidP="006358BE">
            <w:pPr>
              <w:pStyle w:val="ListParagraph"/>
              <w:numPr>
                <w:ilvl w:val="0"/>
                <w:numId w:val="4"/>
              </w:num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Débours</w:t>
            </w: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1160D9" w:rsidP="006358BE">
            <w:pPr>
              <w:jc w:val="both"/>
              <w:rPr>
                <w:rFonts w:asciiTheme="minorHAnsi" w:eastAsia="Calibri" w:hAnsiTheme="minorHAnsi" w:cstheme="minorHAnsi"/>
                <w:sz w:val="24"/>
                <w:szCs w:val="24"/>
              </w:rPr>
            </w:pPr>
          </w:p>
        </w:tc>
      </w:tr>
      <w:tr w:rsidR="006358BE"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7A793C" w:rsidP="006358BE">
            <w:pPr>
              <w:jc w:val="both"/>
              <w:rPr>
                <w:rFonts w:asciiTheme="minorHAnsi" w:eastAsia="Calibri" w:hAnsiTheme="minorHAnsi" w:cstheme="minorHAnsi"/>
                <w:i/>
                <w:sz w:val="24"/>
                <w:szCs w:val="24"/>
                <w:lang w:val="en-GB"/>
              </w:rPr>
            </w:pPr>
            <w:r w:rsidRPr="006358BE">
              <w:rPr>
                <w:rFonts w:asciiTheme="minorHAnsi" w:eastAsia="Calibri" w:hAnsiTheme="minorHAnsi" w:cstheme="minorHAnsi"/>
                <w:i/>
                <w:sz w:val="24"/>
                <w:szCs w:val="24"/>
              </w:rPr>
              <w:t>Total des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r w:rsidR="001160D9" w:rsidRPr="006358BE">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160D9" w:rsidRPr="002C16EA" w:rsidRDefault="007A793C" w:rsidP="006358BE">
            <w:pPr>
              <w:jc w:val="both"/>
              <w:rPr>
                <w:rFonts w:asciiTheme="minorHAnsi" w:eastAsia="Calibri" w:hAnsiTheme="minorHAnsi" w:cstheme="minorHAnsi"/>
                <w:b/>
                <w:i/>
                <w:sz w:val="24"/>
                <w:szCs w:val="24"/>
              </w:rPr>
            </w:pPr>
            <w:r w:rsidRPr="006358BE">
              <w:rPr>
                <w:rFonts w:asciiTheme="minorHAnsi" w:eastAsia="Calibri" w:hAnsiTheme="minorHAnsi" w:cstheme="minorHAnsi"/>
                <w:b/>
                <w:i/>
                <w:sz w:val="24"/>
                <w:szCs w:val="24"/>
              </w:rPr>
              <w:t xml:space="preserve">Prix total du contrat </w:t>
            </w:r>
          </w:p>
          <w:p w:rsidR="001160D9" w:rsidRPr="002C16EA" w:rsidRDefault="007A793C" w:rsidP="006358BE">
            <w:pPr>
              <w:jc w:val="both"/>
              <w:rPr>
                <w:rFonts w:asciiTheme="minorHAnsi" w:eastAsia="Calibri" w:hAnsiTheme="minorHAnsi" w:cstheme="minorHAnsi"/>
                <w:i/>
                <w:sz w:val="24"/>
                <w:szCs w:val="24"/>
              </w:rPr>
            </w:pPr>
            <w:r w:rsidRPr="006358BE">
              <w:rPr>
                <w:rFonts w:asciiTheme="minorHAnsi" w:eastAsia="Calibri" w:hAnsiTheme="minorHAnsi" w:cstheme="minorHAnsi"/>
                <w:i/>
                <w:sz w:val="24"/>
                <w:szCs w:val="24"/>
              </w:rPr>
              <w:t>(Frais professionnels +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160D9" w:rsidRPr="006358BE" w:rsidRDefault="00A63DC5" w:rsidP="006358BE">
            <w:pPr>
              <w:jc w:val="both"/>
              <w:rPr>
                <w:rFonts w:asciiTheme="minorHAnsi" w:eastAsia="Calibri" w:hAnsiTheme="minorHAnsi" w:cstheme="minorHAnsi"/>
                <w:sz w:val="24"/>
                <w:szCs w:val="24"/>
                <w:lang w:val="en-GB"/>
              </w:rPr>
            </w:pPr>
            <w:r w:rsidRPr="006358BE">
              <w:rPr>
                <w:rFonts w:asciiTheme="minorHAnsi" w:eastAsia="Calibri" w:hAnsiTheme="minorHAnsi" w:cstheme="minorHAnsi"/>
                <w:sz w:val="24"/>
                <w:szCs w:val="24"/>
              </w:rPr>
              <w:t>GNF</w:t>
            </w:r>
          </w:p>
        </w:tc>
      </w:tr>
    </w:tbl>
    <w:p w:rsidR="001160D9" w:rsidRPr="006358BE" w:rsidRDefault="001160D9" w:rsidP="006358BE">
      <w:pPr>
        <w:jc w:val="both"/>
        <w:rPr>
          <w:rFonts w:asciiTheme="minorHAnsi" w:hAnsiTheme="minorHAnsi" w:cstheme="minorHAnsi"/>
          <w:b/>
          <w:bCs/>
          <w:sz w:val="24"/>
          <w:szCs w:val="24"/>
        </w:rPr>
      </w:pPr>
    </w:p>
    <w:p w:rsidR="001160D9" w:rsidRPr="006358BE" w:rsidRDefault="007A793C" w:rsidP="006358BE">
      <w:pPr>
        <w:tabs>
          <w:tab w:val="left" w:pos="0"/>
          <w:tab w:val="right" w:pos="1980"/>
          <w:tab w:val="left" w:pos="2160"/>
          <w:tab w:val="left" w:pos="4320"/>
        </w:tabs>
        <w:jc w:val="both"/>
        <w:rPr>
          <w:rFonts w:asciiTheme="minorHAnsi" w:hAnsiTheme="minorHAnsi" w:cstheme="minorHAnsi"/>
          <w:b/>
          <w:bCs/>
          <w:sz w:val="24"/>
          <w:szCs w:val="24"/>
        </w:rPr>
      </w:pPr>
      <w:r w:rsidRPr="006358BE">
        <w:rPr>
          <w:rFonts w:asciiTheme="minorHAnsi" w:hAnsiTheme="minorHAnsi" w:cstheme="minorHAnsi"/>
          <w:b/>
          <w:bCs/>
          <w:noProof/>
          <w:sz w:val="24"/>
          <w:szCs w:val="24"/>
          <w:lang w:val="en-US"/>
        </w:rPr>
        <mc:AlternateContent>
          <mc:Choice Requires="wps">
            <w:drawing>
              <wp:anchor distT="0" distB="0" distL="114300" distR="113665" simplePos="0" relativeHeight="251651072" behindDoc="0" locked="0" layoutInCell="1" allowOverlap="1" wp14:anchorId="44982725" wp14:editId="1C229198">
                <wp:simplePos x="0" y="0"/>
                <wp:positionH relativeFrom="column">
                  <wp:posOffset>0</wp:posOffset>
                </wp:positionH>
                <wp:positionV relativeFrom="paragraph">
                  <wp:posOffset>52070</wp:posOffset>
                </wp:positionV>
                <wp:extent cx="6180455" cy="686435"/>
                <wp:effectExtent l="11430" t="13970" r="9525" b="5080"/>
                <wp:wrapNone/>
                <wp:docPr id="3"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920053" w:rsidRDefault="00920053">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w:pict>
              <v:rect w14:anchorId="44982725" id="Text Box 5" o:spid="_x0000_s1026" style="position:absolute;left:0;text-align:left;margin-left:0;margin-top:4.1pt;width:486.65pt;height:54.05pt;z-index:25165107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IJZ2JjkAQAAKAQAAA4AAAAAAAAAAAAAAAAALgIAAGRycy9lMm9Eb2MueG1sUEsBAi0A&#10;FAAGAAgAAAAhAIOa0CLcAAAABgEAAA8AAAAAAAAAAAAAAAAAPgQAAGRycy9kb3ducmV2LnhtbFBL&#10;BQYAAAAABAAEAPMAAABHBQAAAAA=&#10;" filled="f" strokeweight=".26mm">
                <v:textbox>
                  <w:txbxContent>
                    <w:p w:rsidR="00920053" w:rsidRDefault="00920053">
                      <w:pPr>
                        <w:pStyle w:val="FrameContents"/>
                      </w:pPr>
                      <w:r>
                        <w:rPr>
                          <w:rFonts w:ascii="Calibri" w:hAnsi="Calibri" w:cs="Calibri"/>
                          <w:i/>
                          <w:iCs/>
                        </w:rPr>
                        <w:t>Commentaires du vendeur</w:t>
                      </w:r>
                      <w:r>
                        <w:rPr>
                          <w:i/>
                          <w:iCs/>
                        </w:rPr>
                        <w:t>:</w:t>
                      </w:r>
                    </w:p>
                  </w:txbxContent>
                </v:textbox>
              </v:rect>
            </w:pict>
          </mc:Fallback>
        </mc:AlternateContent>
      </w: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1160D9" w:rsidP="006358BE">
      <w:pPr>
        <w:tabs>
          <w:tab w:val="left" w:pos="0"/>
          <w:tab w:val="right" w:pos="1980"/>
          <w:tab w:val="left" w:pos="2160"/>
          <w:tab w:val="left" w:pos="4320"/>
        </w:tabs>
        <w:jc w:val="both"/>
        <w:rPr>
          <w:rFonts w:asciiTheme="minorHAnsi" w:hAnsiTheme="minorHAnsi" w:cstheme="minorHAnsi"/>
          <w:b/>
          <w:bCs/>
          <w:sz w:val="24"/>
          <w:szCs w:val="24"/>
        </w:rPr>
      </w:pPr>
    </w:p>
    <w:p w:rsidR="001160D9" w:rsidRPr="006358BE" w:rsidRDefault="007A793C" w:rsidP="006358BE">
      <w:pPr>
        <w:pStyle w:val="ListParagraph"/>
        <w:tabs>
          <w:tab w:val="left" w:pos="851"/>
        </w:tabs>
        <w:overflowPunct w:val="0"/>
        <w:spacing w:line="276" w:lineRule="auto"/>
        <w:ind w:left="0"/>
        <w:contextualSpacing/>
        <w:jc w:val="both"/>
        <w:textAlignment w:val="auto"/>
        <w:rPr>
          <w:rFonts w:asciiTheme="minorHAnsi" w:hAnsiTheme="minorHAnsi" w:cstheme="minorHAnsi"/>
          <w:sz w:val="24"/>
          <w:szCs w:val="24"/>
        </w:rPr>
      </w:pPr>
      <w:r w:rsidRPr="006358BE">
        <w:rPr>
          <w:rFonts w:asciiTheme="minorHAnsi" w:hAnsiTheme="minorHAnsi" w:cstheme="minorHAnsi"/>
          <w:sz w:val="24"/>
          <w:szCs w:val="24"/>
        </w:rPr>
        <w:t xml:space="preserve">Je certifie par la présente que la société mentionnée ci-dessus, au nom de laquelle je suis dûment autorisé à signer, a examiné la </w:t>
      </w:r>
      <w:r w:rsidR="009C46A3" w:rsidRPr="006358BE">
        <w:rPr>
          <w:rFonts w:asciiTheme="minorHAnsi" w:hAnsiTheme="minorHAnsi" w:cstheme="minorHAnsi"/>
          <w:sz w:val="24"/>
          <w:szCs w:val="24"/>
        </w:rPr>
        <w:t xml:space="preserve">Demande de Cotation </w:t>
      </w:r>
      <w:r w:rsidRPr="006358BE">
        <w:rPr>
          <w:rFonts w:asciiTheme="minorHAnsi" w:hAnsiTheme="minorHAnsi" w:cstheme="minorHAnsi"/>
          <w:b/>
          <w:sz w:val="24"/>
          <w:szCs w:val="24"/>
        </w:rPr>
        <w:t>UNFPA/</w:t>
      </w:r>
      <w:r w:rsidR="00A63DC5" w:rsidRPr="006358BE">
        <w:rPr>
          <w:rFonts w:asciiTheme="minorHAnsi" w:hAnsiTheme="minorHAnsi" w:cstheme="minorHAnsi"/>
          <w:b/>
          <w:sz w:val="24"/>
          <w:szCs w:val="24"/>
        </w:rPr>
        <w:t>GIN</w:t>
      </w:r>
      <w:r w:rsidRPr="006358BE">
        <w:rPr>
          <w:rFonts w:asciiTheme="minorHAnsi" w:hAnsiTheme="minorHAnsi" w:cstheme="minorHAnsi"/>
          <w:b/>
          <w:sz w:val="24"/>
          <w:szCs w:val="24"/>
        </w:rPr>
        <w:t>/RFQ/</w:t>
      </w:r>
      <w:r w:rsidR="00427CB7">
        <w:rPr>
          <w:rFonts w:asciiTheme="minorHAnsi" w:hAnsiTheme="minorHAnsi" w:cstheme="minorHAnsi"/>
          <w:b/>
          <w:sz w:val="24"/>
          <w:szCs w:val="24"/>
        </w:rPr>
        <w:t>22</w:t>
      </w:r>
      <w:r w:rsidRPr="006358BE">
        <w:rPr>
          <w:rFonts w:asciiTheme="minorHAnsi" w:hAnsiTheme="minorHAnsi" w:cstheme="minorHAnsi"/>
          <w:b/>
          <w:sz w:val="24"/>
          <w:szCs w:val="24"/>
        </w:rPr>
        <w:t>/</w:t>
      </w:r>
      <w:r w:rsidR="00A63DC5" w:rsidRPr="006358BE">
        <w:rPr>
          <w:rFonts w:asciiTheme="minorHAnsi" w:hAnsiTheme="minorHAnsi" w:cstheme="minorHAnsi"/>
          <w:b/>
          <w:sz w:val="24"/>
          <w:szCs w:val="24"/>
        </w:rPr>
        <w:t>0</w:t>
      </w:r>
      <w:r w:rsidR="00427CB7">
        <w:rPr>
          <w:rFonts w:asciiTheme="minorHAnsi" w:hAnsiTheme="minorHAnsi" w:cstheme="minorHAnsi"/>
          <w:b/>
          <w:sz w:val="24"/>
          <w:szCs w:val="24"/>
        </w:rPr>
        <w:t>2</w:t>
      </w:r>
      <w:r w:rsidRPr="006358BE">
        <w:rPr>
          <w:rFonts w:asciiTheme="minorHAnsi" w:hAnsiTheme="minorHAnsi" w:cstheme="minorHAnsi"/>
          <w:sz w:val="24"/>
          <w:szCs w:val="24"/>
        </w:rPr>
        <w:t xml:space="preserve">, y compris l’ensemble des annexes, des amendements au document (le cas échéant) et des réponses fournies par l’UNFPA aux questions de clarification des prestataires potentiels. De plus, la société accepte </w:t>
      </w:r>
      <w:r w:rsidRPr="006358BE">
        <w:rPr>
          <w:rFonts w:asciiTheme="minorHAnsi" w:hAnsiTheme="minorHAnsi" w:cstheme="minorHAnsi"/>
          <w:sz w:val="24"/>
          <w:szCs w:val="24"/>
        </w:rPr>
        <w:lastRenderedPageBreak/>
        <w:t xml:space="preserve">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6358BE" w:rsidRPr="006358BE">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7D10A7" w:rsidP="006358BE">
            <w:pPr>
              <w:tabs>
                <w:tab w:val="left" w:pos="0"/>
                <w:tab w:val="right" w:pos="1980"/>
                <w:tab w:val="left" w:pos="2160"/>
                <w:tab w:val="left" w:pos="4320"/>
              </w:tabs>
              <w:jc w:val="both"/>
              <w:rPr>
                <w:rFonts w:asciiTheme="minorHAnsi" w:eastAsia="Calibri" w:hAnsiTheme="minorHAnsi" w:cstheme="minorHAnsi"/>
                <w:bCs/>
                <w:sz w:val="24"/>
                <w:szCs w:val="24"/>
              </w:rPr>
            </w:pPr>
            <w:sdt>
              <w:sdtPr>
                <w:rPr>
                  <w:rFonts w:asciiTheme="minorHAnsi" w:hAnsiTheme="minorHAnsi" w:cstheme="minorHAnsi"/>
                  <w:sz w:val="24"/>
                  <w:szCs w:val="24"/>
                </w:rPr>
                <w:id w:val="-620384247"/>
                <w:date>
                  <w:dateFormat w:val="dd/MM/yyyy"/>
                  <w:lid w:val="en-GB"/>
                  <w:storeMappedDataAs w:val="dateTime"/>
                  <w:calendar w:val="gregorian"/>
                </w:date>
              </w:sdtPr>
              <w:sdtEndPr/>
              <w:sdtContent>
                <w:r w:rsidR="007A793C" w:rsidRPr="006358BE">
                  <w:rPr>
                    <w:rFonts w:asciiTheme="minorHAnsi" w:eastAsiaTheme="minorHAnsi" w:hAnsiTheme="minorHAnsi" w:cstheme="minorHAnsi"/>
                    <w:sz w:val="24"/>
                    <w:szCs w:val="24"/>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1160D9" w:rsidP="006358BE">
            <w:pPr>
              <w:tabs>
                <w:tab w:val="left" w:pos="0"/>
                <w:tab w:val="right" w:pos="1980"/>
                <w:tab w:val="left" w:pos="2160"/>
                <w:tab w:val="left" w:pos="4320"/>
              </w:tabs>
              <w:jc w:val="both"/>
              <w:rPr>
                <w:rFonts w:asciiTheme="minorHAnsi" w:eastAsia="Calibri" w:hAnsiTheme="minorHAnsi" w:cstheme="minorHAnsi"/>
                <w:bCs/>
                <w:sz w:val="24"/>
                <w:szCs w:val="24"/>
              </w:rPr>
            </w:pPr>
          </w:p>
        </w:tc>
      </w:tr>
      <w:tr w:rsidR="001160D9" w:rsidRPr="006358BE">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7A793C" w:rsidP="006358BE">
            <w:pPr>
              <w:tabs>
                <w:tab w:val="left" w:pos="0"/>
                <w:tab w:val="right" w:pos="1980"/>
                <w:tab w:val="left" w:pos="2160"/>
                <w:tab w:val="left" w:pos="4320"/>
              </w:tabs>
              <w:jc w:val="both"/>
              <w:rPr>
                <w:rFonts w:asciiTheme="minorHAnsi" w:eastAsia="Calibri" w:hAnsiTheme="minorHAnsi" w:cstheme="minorHAnsi"/>
                <w:bCs/>
                <w:sz w:val="24"/>
                <w:szCs w:val="24"/>
              </w:rPr>
            </w:pPr>
            <w:r w:rsidRPr="006358BE">
              <w:rPr>
                <w:rFonts w:asciiTheme="minorHAnsi" w:eastAsia="Calibri" w:hAnsiTheme="minorHAnsi" w:cstheme="minorHAnsi"/>
                <w:bCs/>
                <w:sz w:val="24"/>
                <w:szCs w:val="24"/>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1160D9" w:rsidRPr="006358BE" w:rsidRDefault="007A793C" w:rsidP="006358BE">
            <w:pPr>
              <w:tabs>
                <w:tab w:val="left" w:pos="0"/>
                <w:tab w:val="right" w:pos="1980"/>
                <w:tab w:val="left" w:pos="2160"/>
                <w:tab w:val="left" w:pos="4320"/>
              </w:tabs>
              <w:jc w:val="both"/>
              <w:rPr>
                <w:rFonts w:asciiTheme="minorHAnsi" w:eastAsia="Calibri" w:hAnsiTheme="minorHAnsi" w:cstheme="minorHAnsi"/>
                <w:bCs/>
                <w:sz w:val="24"/>
                <w:szCs w:val="24"/>
              </w:rPr>
            </w:pPr>
            <w:r w:rsidRPr="006358BE">
              <w:rPr>
                <w:rFonts w:asciiTheme="minorHAnsi" w:eastAsia="Calibri" w:hAnsiTheme="minorHAnsi" w:cstheme="minorHAnsi"/>
                <w:bCs/>
                <w:sz w:val="24"/>
                <w:szCs w:val="24"/>
              </w:rPr>
              <w:t>Date et lieu</w:t>
            </w:r>
          </w:p>
        </w:tc>
      </w:tr>
    </w:tbl>
    <w:p w:rsidR="001160D9" w:rsidRPr="006358BE" w:rsidRDefault="001160D9" w:rsidP="006358BE">
      <w:pPr>
        <w:jc w:val="both"/>
        <w:rPr>
          <w:rFonts w:asciiTheme="minorHAnsi" w:hAnsiTheme="minorHAnsi" w:cstheme="minorHAnsi"/>
          <w:sz w:val="24"/>
          <w:szCs w:val="24"/>
        </w:rPr>
      </w:pPr>
    </w:p>
    <w:p w:rsidR="001160D9" w:rsidRPr="006358BE" w:rsidRDefault="001160D9" w:rsidP="006358BE">
      <w:pPr>
        <w:jc w:val="both"/>
        <w:rPr>
          <w:rFonts w:asciiTheme="minorHAnsi" w:hAnsiTheme="minorHAnsi" w:cstheme="minorHAnsi"/>
          <w:b/>
          <w:sz w:val="24"/>
          <w:szCs w:val="24"/>
        </w:rPr>
      </w:pPr>
    </w:p>
    <w:p w:rsidR="001160D9" w:rsidRPr="006358BE" w:rsidRDefault="007A793C" w:rsidP="006358BE">
      <w:pPr>
        <w:jc w:val="both"/>
        <w:rPr>
          <w:rFonts w:asciiTheme="minorHAnsi" w:hAnsiTheme="minorHAnsi" w:cstheme="minorHAnsi"/>
          <w:b/>
          <w:sz w:val="24"/>
          <w:szCs w:val="24"/>
        </w:rPr>
      </w:pPr>
      <w:r w:rsidRPr="006358BE">
        <w:rPr>
          <w:rFonts w:asciiTheme="minorHAnsi" w:hAnsiTheme="minorHAnsi" w:cstheme="minorHAnsi"/>
          <w:b/>
          <w:sz w:val="24"/>
          <w:szCs w:val="24"/>
        </w:rPr>
        <w:t>Annexe I :</w:t>
      </w:r>
    </w:p>
    <w:p w:rsidR="001160D9" w:rsidRPr="006358BE" w:rsidRDefault="007A793C" w:rsidP="006358BE">
      <w:pPr>
        <w:jc w:val="both"/>
        <w:rPr>
          <w:rFonts w:asciiTheme="minorHAnsi" w:hAnsiTheme="minorHAnsi" w:cstheme="minorHAnsi"/>
          <w:sz w:val="24"/>
          <w:szCs w:val="24"/>
        </w:rPr>
      </w:pPr>
      <w:r w:rsidRPr="006358BE">
        <w:rPr>
          <w:rFonts w:asciiTheme="minorHAnsi" w:hAnsiTheme="minorHAnsi" w:cstheme="minorHAnsi"/>
          <w:b/>
          <w:sz w:val="24"/>
          <w:szCs w:val="24"/>
        </w:rPr>
        <w:t>Conditions générales applicables aux contrats :</w:t>
      </w:r>
    </w:p>
    <w:p w:rsidR="001160D9" w:rsidRPr="006358BE" w:rsidRDefault="007A793C" w:rsidP="006358BE">
      <w:pPr>
        <w:jc w:val="both"/>
        <w:rPr>
          <w:rFonts w:asciiTheme="minorHAnsi" w:hAnsiTheme="minorHAnsi" w:cstheme="minorHAnsi"/>
          <w:b/>
          <w:sz w:val="24"/>
          <w:szCs w:val="24"/>
        </w:rPr>
      </w:pPr>
      <w:r w:rsidRPr="006358BE">
        <w:rPr>
          <w:rFonts w:asciiTheme="minorHAnsi" w:hAnsiTheme="minorHAnsi" w:cstheme="minorHAnsi"/>
          <w:b/>
          <w:sz w:val="24"/>
          <w:szCs w:val="24"/>
        </w:rPr>
        <w:t>Contrats visés par la clause de minimis</w:t>
      </w:r>
    </w:p>
    <w:p w:rsidR="001160D9" w:rsidRPr="006358BE" w:rsidRDefault="001160D9" w:rsidP="006358BE">
      <w:pPr>
        <w:jc w:val="both"/>
        <w:rPr>
          <w:rFonts w:asciiTheme="minorHAnsi" w:hAnsiTheme="minorHAnsi" w:cstheme="minorHAnsi"/>
          <w:sz w:val="24"/>
          <w:szCs w:val="24"/>
        </w:rPr>
      </w:pPr>
    </w:p>
    <w:p w:rsidR="001160D9" w:rsidRPr="006358BE" w:rsidRDefault="001160D9" w:rsidP="006358BE">
      <w:pPr>
        <w:tabs>
          <w:tab w:val="left" w:pos="7020"/>
        </w:tabs>
        <w:jc w:val="both"/>
        <w:rPr>
          <w:rFonts w:asciiTheme="minorHAnsi" w:hAnsiTheme="minorHAnsi" w:cstheme="minorHAnsi"/>
          <w:sz w:val="24"/>
          <w:szCs w:val="24"/>
        </w:rPr>
      </w:pPr>
    </w:p>
    <w:p w:rsidR="001160D9" w:rsidRPr="006358BE" w:rsidRDefault="007A793C" w:rsidP="006358BE">
      <w:pPr>
        <w:tabs>
          <w:tab w:val="left" w:pos="7020"/>
        </w:tabs>
        <w:jc w:val="both"/>
        <w:rPr>
          <w:rFonts w:asciiTheme="minorHAnsi" w:hAnsiTheme="minorHAnsi" w:cstheme="minorHAnsi"/>
          <w:sz w:val="24"/>
          <w:szCs w:val="24"/>
        </w:rPr>
      </w:pPr>
      <w:r w:rsidRPr="006358BE">
        <w:rPr>
          <w:rFonts w:asciiTheme="minorHAnsi" w:hAnsiTheme="minorHAnsi" w:cstheme="minorHAnsi"/>
          <w:sz w:val="24"/>
          <w:szCs w:val="24"/>
        </w:rPr>
        <w:t xml:space="preserve">Cette Demande de devis est soumise aux Conditions générales de l’UNFPA applicables aux contrats visés par la clause de minimis, disponible en </w:t>
      </w:r>
      <w:hyperlink r:id="rId22">
        <w:r w:rsidRPr="006358BE">
          <w:rPr>
            <w:rStyle w:val="InternetLink"/>
            <w:rFonts w:asciiTheme="minorHAnsi" w:hAnsiTheme="minorHAnsi" w:cstheme="minorHAnsi"/>
            <w:color w:val="auto"/>
            <w:sz w:val="24"/>
            <w:szCs w:val="24"/>
          </w:rPr>
          <w:t>anglais,</w:t>
        </w:r>
      </w:hyperlink>
      <w:r w:rsidRPr="006358BE">
        <w:rPr>
          <w:rFonts w:asciiTheme="minorHAnsi" w:hAnsiTheme="minorHAnsi" w:cstheme="minorHAnsi"/>
          <w:sz w:val="24"/>
          <w:szCs w:val="24"/>
        </w:rPr>
        <w:t xml:space="preserve"> </w:t>
      </w:r>
      <w:hyperlink r:id="rId23">
        <w:r w:rsidRPr="006358BE">
          <w:rPr>
            <w:rStyle w:val="InternetLink"/>
            <w:rFonts w:asciiTheme="minorHAnsi" w:hAnsiTheme="minorHAnsi" w:cstheme="minorHAnsi"/>
            <w:color w:val="auto"/>
            <w:sz w:val="24"/>
            <w:szCs w:val="24"/>
          </w:rPr>
          <w:t>espagnol</w:t>
        </w:r>
      </w:hyperlink>
      <w:r w:rsidRPr="006358BE">
        <w:rPr>
          <w:rFonts w:asciiTheme="minorHAnsi" w:hAnsiTheme="minorHAnsi" w:cstheme="minorHAnsi"/>
          <w:sz w:val="24"/>
          <w:szCs w:val="24"/>
        </w:rPr>
        <w:t xml:space="preserve"> et </w:t>
      </w:r>
      <w:hyperlink r:id="rId24">
        <w:r w:rsidRPr="006358BE">
          <w:rPr>
            <w:rStyle w:val="InternetLink"/>
            <w:rFonts w:asciiTheme="minorHAnsi" w:hAnsiTheme="minorHAnsi" w:cstheme="minorHAnsi"/>
            <w:color w:val="auto"/>
            <w:sz w:val="24"/>
            <w:szCs w:val="24"/>
          </w:rPr>
          <w:t>français.</w:t>
        </w:r>
      </w:hyperlink>
    </w:p>
    <w:p w:rsidR="001160D9" w:rsidRPr="006358BE" w:rsidRDefault="001160D9" w:rsidP="006358BE">
      <w:pPr>
        <w:tabs>
          <w:tab w:val="left" w:pos="7020"/>
        </w:tabs>
        <w:jc w:val="both"/>
        <w:rPr>
          <w:rFonts w:asciiTheme="minorHAnsi" w:hAnsiTheme="minorHAnsi" w:cstheme="minorHAnsi"/>
          <w:sz w:val="24"/>
          <w:szCs w:val="24"/>
        </w:rPr>
      </w:pPr>
    </w:p>
    <w:p w:rsidR="001160D9" w:rsidRPr="006358BE" w:rsidRDefault="001160D9" w:rsidP="006358BE">
      <w:pPr>
        <w:tabs>
          <w:tab w:val="left" w:pos="7020"/>
        </w:tabs>
        <w:jc w:val="both"/>
        <w:rPr>
          <w:rFonts w:asciiTheme="minorHAnsi" w:hAnsiTheme="minorHAnsi" w:cstheme="minorHAnsi"/>
          <w:sz w:val="24"/>
          <w:szCs w:val="24"/>
        </w:rPr>
      </w:pPr>
      <w:bookmarkStart w:id="22" w:name="__UnoMark__4885_135150849"/>
      <w:bookmarkStart w:id="23" w:name="__UnoMark__4877_135150849"/>
      <w:bookmarkStart w:id="24" w:name="__UnoMark__3851_135150849"/>
      <w:bookmarkStart w:id="25" w:name="__UnoMark__3843_135150849"/>
      <w:bookmarkEnd w:id="22"/>
      <w:bookmarkEnd w:id="23"/>
      <w:bookmarkEnd w:id="24"/>
      <w:bookmarkEnd w:id="25"/>
    </w:p>
    <w:sectPr w:rsidR="001160D9" w:rsidRPr="006358BE" w:rsidSect="009F18C1">
      <w:headerReference w:type="default" r:id="rId25"/>
      <w:footerReference w:type="default" r:id="rId26"/>
      <w:pgSz w:w="11906" w:h="16838"/>
      <w:pgMar w:top="765" w:right="1416"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A7" w:rsidRDefault="007D10A7">
      <w:r>
        <w:separator/>
      </w:r>
    </w:p>
  </w:endnote>
  <w:endnote w:type="continuationSeparator" w:id="0">
    <w:p w:rsidR="007D10A7" w:rsidRDefault="007D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53" w:rsidRDefault="00920053">
    <w:r>
      <w:rPr>
        <w:noProof/>
        <w:lang w:val="en-US"/>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496570" cy="394970"/>
              <wp:effectExtent l="0" t="0" r="17780" b="24130"/>
              <wp:wrapNone/>
              <wp:docPr id="571" name="Folded Corner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394970"/>
                      </a:xfrm>
                      <a:prstGeom prst="foldedCorner">
                        <a:avLst>
                          <a:gd name="adj" fmla="val 34560"/>
                        </a:avLst>
                      </a:prstGeom>
                      <a:solidFill>
                        <a:srgbClr val="FFFFFF"/>
                      </a:solidFill>
                      <a:ln w="3175">
                        <a:solidFill>
                          <a:srgbClr val="808080"/>
                        </a:solidFill>
                        <a:round/>
                        <a:headEnd/>
                        <a:tailEnd/>
                      </a:ln>
                    </wps:spPr>
                    <wps:txbx>
                      <w:txbxContent>
                        <w:p w:rsidR="00920053" w:rsidRDefault="00920053">
                          <w:pPr>
                            <w:jc w:val="center"/>
                          </w:pPr>
                          <w:r>
                            <w:fldChar w:fldCharType="begin"/>
                          </w:r>
                          <w:r>
                            <w:instrText>PAGE    \* MERGEFORMAT</w:instrText>
                          </w:r>
                          <w:r>
                            <w:fldChar w:fldCharType="separate"/>
                          </w:r>
                          <w:r w:rsidR="00A21F9B" w:rsidRPr="00A21F9B">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571" o:spid="_x0000_s1027" type="#_x0000_t65" style="position:absolute;margin-left:0;margin-top:0;width:39.1pt;height:31.1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" o:allowincell="f" adj="14135" strokecolor="gray" strokeweight=".25pt">
              <v:textbox>
                <w:txbxContent>
                  <w:p w:rsidR="00920053" w:rsidRDefault="00920053">
                    <w:pPr>
                      <w:jc w:val="center"/>
                    </w:pPr>
                    <w:r>
                      <w:fldChar w:fldCharType="begin"/>
                    </w:r>
                    <w:r>
                      <w:instrText>PAGE    \* MERGEFORMAT</w:instrText>
                    </w:r>
                    <w:r>
                      <w:fldChar w:fldCharType="separate"/>
                    </w:r>
                    <w:r w:rsidR="00A21F9B" w:rsidRPr="00A21F9B">
                      <w:rPr>
                        <w:noProof/>
                        <w:sz w:val="16"/>
                        <w:szCs w:val="16"/>
                      </w:rPr>
                      <w:t>1</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53" w:rsidRPr="005838F7" w:rsidRDefault="00920053" w:rsidP="005838F7">
    <w:pPr>
      <w:pBdr>
        <w:top w:val="thinThickSmallGap" w:sz="24" w:space="0" w:color="622423"/>
      </w:pBdr>
      <w:tabs>
        <w:tab w:val="center" w:pos="4536"/>
        <w:tab w:val="right" w:pos="9072"/>
      </w:tabs>
      <w:overflowPunct w:val="0"/>
      <w:autoSpaceDE w:val="0"/>
      <w:autoSpaceDN w:val="0"/>
      <w:adjustRightInd w:val="0"/>
      <w:jc w:val="center"/>
      <w:textAlignment w:val="baseline"/>
      <w:rPr>
        <w:noProof/>
        <w:color w:val="00B0F0"/>
        <w:sz w:val="18"/>
        <w:szCs w:val="18"/>
        <w:lang w:eastAsia="fr-FR"/>
      </w:rPr>
    </w:pPr>
    <w:r w:rsidRPr="005838F7">
      <w:rPr>
        <w:noProof/>
        <w:color w:val="00B0F0"/>
        <w:sz w:val="18"/>
        <w:szCs w:val="18"/>
        <w:lang w:eastAsia="fr-FR"/>
      </w:rPr>
      <w:t>UNFPA Guinée, Maison Commune des Nations Unies, Coléah Lanceboudji, Corniche sud, B.P. 222, Conakry</w:t>
    </w:r>
  </w:p>
  <w:p w:rsidR="00920053" w:rsidRPr="005838F7" w:rsidRDefault="00920053" w:rsidP="005838F7">
    <w:pPr>
      <w:pBdr>
        <w:top w:val="thinThickSmallGap" w:sz="24" w:space="0" w:color="622423"/>
      </w:pBdr>
      <w:tabs>
        <w:tab w:val="right" w:pos="9072"/>
      </w:tabs>
      <w:overflowPunct w:val="0"/>
      <w:autoSpaceDE w:val="0"/>
      <w:autoSpaceDN w:val="0"/>
      <w:adjustRightInd w:val="0"/>
      <w:jc w:val="center"/>
      <w:textAlignment w:val="baseline"/>
      <w:rPr>
        <w:noProof/>
        <w:color w:val="00B0F0"/>
        <w:sz w:val="18"/>
        <w:szCs w:val="18"/>
        <w:lang w:val="en-US" w:eastAsia="fr-FR"/>
      </w:rPr>
    </w:pPr>
    <w:r w:rsidRPr="005838F7">
      <w:rPr>
        <w:noProof/>
        <w:color w:val="00B0F0"/>
        <w:sz w:val="18"/>
        <w:szCs w:val="18"/>
        <w:lang w:val="en-US" w:eastAsia="fr-FR"/>
      </w:rPr>
      <w:t>Tél. (224) 629-29-29-45-23/629-29-45-25, site web : http://www.guinea.unfpa.org</w:t>
    </w:r>
  </w:p>
  <w:p w:rsidR="00920053" w:rsidRPr="005838F7" w:rsidRDefault="00920053" w:rsidP="005838F7">
    <w:pPr>
      <w:pBdr>
        <w:top w:val="thinThickSmallGap" w:sz="24" w:space="0" w:color="622423"/>
      </w:pBdr>
      <w:tabs>
        <w:tab w:val="right" w:pos="9072"/>
      </w:tabs>
      <w:overflowPunct w:val="0"/>
      <w:autoSpaceDE w:val="0"/>
      <w:autoSpaceDN w:val="0"/>
      <w:adjustRightInd w:val="0"/>
      <w:jc w:val="center"/>
      <w:textAlignment w:val="baseline"/>
      <w:rPr>
        <w:noProof/>
        <w:color w:val="00B0F0"/>
        <w:sz w:val="18"/>
        <w:szCs w:val="18"/>
        <w:lang w:val="en-US" w:eastAsia="fr-FR"/>
      </w:rPr>
    </w:pPr>
  </w:p>
  <w:p w:rsidR="00920053" w:rsidRDefault="00920053">
    <w:pPr>
      <w:pStyle w:val="UNFPAAddress"/>
      <w:tabs>
        <w:tab w:val="right" w:pos="9720"/>
      </w:tabs>
      <w:spacing w:line="230" w:lineRule="exact"/>
      <w:ind w:right="360"/>
      <w:rPr>
        <w:rFonts w:ascii="Calibri" w:hAnsi="Calibri"/>
        <w:sz w:val="18"/>
        <w:szCs w:val="18"/>
      </w:rPr>
    </w:pPr>
    <w:r>
      <w:rPr>
        <w:noProof/>
        <w:lang w:val="en-US"/>
      </w:rPr>
      <mc:AlternateContent>
        <mc:Choice Requires="wps">
          <w:drawing>
            <wp:anchor distT="0" distB="0" distL="0" distR="0" simplePos="0" relativeHeight="20" behindDoc="0" locked="0" layoutInCell="1" allowOverlap="1">
              <wp:simplePos x="0" y="0"/>
              <wp:positionH relativeFrom="margin">
                <wp:align>right</wp:align>
              </wp:positionH>
              <wp:positionV relativeFrom="paragraph">
                <wp:posOffset>635</wp:posOffset>
              </wp:positionV>
              <wp:extent cx="594360" cy="133350"/>
              <wp:effectExtent l="0" t="0" r="0" b="0"/>
              <wp:wrapSquare wrapText="largest"/>
              <wp:docPr id="6" name="Frame3"/>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rsidR="00920053" w:rsidRDefault="00920053">
                          <w:pPr>
                            <w:pStyle w:val="Footer"/>
                            <w:jc w:val="right"/>
                          </w:pPr>
                          <w:r>
                            <w:rPr>
                              <w:rStyle w:val="PageNumber"/>
                              <w:rFonts w:ascii="Calibri" w:hAnsi="Calibri"/>
                              <w:sz w:val="18"/>
                              <w:szCs w:val="18"/>
                            </w:rPr>
                            <w:fldChar w:fldCharType="begin"/>
                          </w:r>
                          <w:r>
                            <w:instrText>PAGE</w:instrText>
                          </w:r>
                          <w:r>
                            <w:fldChar w:fldCharType="separate"/>
                          </w:r>
                          <w:r w:rsidR="00A21F9B">
                            <w:rPr>
                              <w:noProof/>
                            </w:rPr>
                            <w:t>11</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A21F9B">
                            <w:rPr>
                              <w:noProof/>
                            </w:rPr>
                            <w:t>11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8" type="#_x0000_t202" style="position:absolute;margin-left:-4.4pt;margin-top:.05pt;width:46.8pt;height:10.5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" stroked="f">
              <v:fill opacity="0"/>
              <v:textbox style="mso-fit-shape-to-text:t" inset="0,0,0,0">
                <w:txbxContent>
                  <w:p w:rsidR="00920053" w:rsidRDefault="00920053">
                    <w:pPr>
                      <w:pStyle w:val="Footer"/>
                      <w:jc w:val="right"/>
                    </w:pPr>
                    <w:r>
                      <w:rPr>
                        <w:rStyle w:val="PageNumber"/>
                        <w:rFonts w:ascii="Calibri" w:hAnsi="Calibri"/>
                        <w:sz w:val="18"/>
                        <w:szCs w:val="18"/>
                      </w:rPr>
                      <w:fldChar w:fldCharType="begin"/>
                    </w:r>
                    <w:r>
                      <w:instrText>PAGE</w:instrText>
                    </w:r>
                    <w:r>
                      <w:fldChar w:fldCharType="separate"/>
                    </w:r>
                    <w:r w:rsidR="00A21F9B">
                      <w:rPr>
                        <w:noProof/>
                      </w:rPr>
                      <w:t>11</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A21F9B">
                      <w:rPr>
                        <w:noProof/>
                      </w:rPr>
                      <w:t>11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A7" w:rsidRDefault="007D10A7">
      <w:r>
        <w:separator/>
      </w:r>
    </w:p>
  </w:footnote>
  <w:footnote w:type="continuationSeparator" w:id="0">
    <w:p w:rsidR="007D10A7" w:rsidRDefault="007D1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53" w:rsidRDefault="00920053" w:rsidP="002D55AD">
    <w:pPr>
      <w:pStyle w:val="Header"/>
    </w:pPr>
    <w:r>
      <w:tab/>
    </w:r>
    <w:r>
      <w:tab/>
    </w:r>
  </w:p>
  <w:p w:rsidR="00920053" w:rsidRDefault="00920053" w:rsidP="002D55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920053" w:rsidRPr="005838F7">
      <w:trPr>
        <w:trHeight w:val="1142"/>
      </w:trPr>
      <w:tc>
        <w:tcPr>
          <w:tcW w:w="4995" w:type="dxa"/>
          <w:tcBorders>
            <w:top w:val="single" w:sz="4" w:space="0" w:color="00000A"/>
            <w:bottom w:val="single" w:sz="4" w:space="0" w:color="00000A"/>
          </w:tcBorders>
          <w:shd w:val="clear" w:color="auto" w:fill="auto"/>
        </w:tcPr>
        <w:p w:rsidR="00920053" w:rsidRDefault="00920053">
          <w:pPr>
            <w:pStyle w:val="Header"/>
            <w:rPr>
              <w:rFonts w:cs="Arial"/>
              <w:szCs w:val="22"/>
            </w:rPr>
          </w:pPr>
          <w:r>
            <w:rPr>
              <w:noProof/>
              <w:lang w:val="en-US"/>
            </w:rPr>
            <w:drawing>
              <wp:inline distT="0" distB="0" distL="0" distR="0" wp14:anchorId="0D8EC321" wp14:editId="38E08635">
                <wp:extent cx="1238250" cy="641350"/>
                <wp:effectExtent l="0" t="0" r="0" b="6350"/>
                <wp:docPr id="5"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louored%20logo"/>
                        <pic:cNvPicPr>
                          <a:picLocks noChangeAspect="1" noChangeArrowheads="1"/>
                        </pic:cNvPicPr>
                      </pic:nvPicPr>
                      <pic:blipFill>
                        <a:blip r:embed="rId1"/>
                        <a:stretch>
                          <a:fillRect/>
                        </a:stretch>
                      </pic:blipFill>
                      <pic:spPr bwMode="auto">
                        <a:xfrm>
                          <a:off x="0" y="0"/>
                          <a:ext cx="1238250" cy="64135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rsidR="00920053" w:rsidRPr="005838F7" w:rsidRDefault="00920053" w:rsidP="005838F7">
          <w:pPr>
            <w:pStyle w:val="Header"/>
            <w:jc w:val="both"/>
            <w:rPr>
              <w:rFonts w:ascii="Calibri" w:hAnsi="Calibri" w:cs="Arial"/>
              <w:sz w:val="18"/>
              <w:szCs w:val="18"/>
            </w:rPr>
          </w:pPr>
          <w:r w:rsidRPr="005838F7">
            <w:rPr>
              <w:rFonts w:ascii="Calibri" w:hAnsi="Calibri" w:cs="Arial"/>
              <w:sz w:val="18"/>
              <w:szCs w:val="18"/>
            </w:rPr>
            <w:tab/>
          </w:r>
        </w:p>
        <w:p w:rsidR="00920053" w:rsidRDefault="00920053" w:rsidP="005838F7">
          <w:pPr>
            <w:tabs>
              <w:tab w:val="center" w:pos="4536"/>
              <w:tab w:val="right" w:pos="9072"/>
            </w:tabs>
            <w:overflowPunct w:val="0"/>
            <w:autoSpaceDE w:val="0"/>
            <w:autoSpaceDN w:val="0"/>
            <w:adjustRightInd w:val="0"/>
            <w:textAlignment w:val="baseline"/>
            <w:rPr>
              <w:b/>
              <w:noProof/>
              <w:color w:val="00B0F0"/>
              <w:sz w:val="22"/>
              <w:szCs w:val="22"/>
              <w:lang w:eastAsia="fr-FR"/>
            </w:rPr>
          </w:pPr>
          <w:r w:rsidRPr="005838F7">
            <w:rPr>
              <w:b/>
              <w:noProof/>
              <w:color w:val="00B0F0"/>
              <w:sz w:val="22"/>
              <w:szCs w:val="22"/>
              <w:lang w:eastAsia="fr-FR"/>
            </w:rPr>
            <w:t>Fonds des Nations Unies pour la Population</w:t>
          </w:r>
        </w:p>
        <w:p w:rsidR="00920053" w:rsidRPr="005838F7" w:rsidRDefault="00920053" w:rsidP="005838F7">
          <w:pPr>
            <w:tabs>
              <w:tab w:val="center" w:pos="4536"/>
              <w:tab w:val="right" w:pos="9072"/>
            </w:tabs>
            <w:overflowPunct w:val="0"/>
            <w:autoSpaceDE w:val="0"/>
            <w:autoSpaceDN w:val="0"/>
            <w:adjustRightInd w:val="0"/>
            <w:textAlignment w:val="baseline"/>
            <w:rPr>
              <w:b/>
              <w:noProof/>
              <w:color w:val="00B0F0"/>
              <w:sz w:val="22"/>
              <w:szCs w:val="22"/>
              <w:lang w:eastAsia="fr-FR"/>
            </w:rPr>
          </w:pPr>
          <w:r w:rsidRPr="005838F7">
            <w:rPr>
              <w:b/>
              <w:i/>
              <w:noProof/>
              <w:color w:val="00B0F0"/>
              <w:sz w:val="22"/>
              <w:szCs w:val="22"/>
              <w:lang w:eastAsia="fr-FR"/>
            </w:rPr>
            <w:t>Représentation en République de Guinée</w:t>
          </w:r>
          <w:r w:rsidRPr="005838F7">
            <w:rPr>
              <w:rFonts w:ascii="Calibri" w:hAnsi="Calibri" w:cs="Arial"/>
              <w:sz w:val="18"/>
              <w:szCs w:val="18"/>
            </w:rPr>
            <w:t xml:space="preserve"> </w:t>
          </w:r>
        </w:p>
      </w:tc>
    </w:tr>
  </w:tbl>
  <w:p w:rsidR="00920053" w:rsidRPr="005838F7" w:rsidRDefault="00920053">
    <w:pPr>
      <w:pStyle w:val="Header"/>
    </w:pPr>
  </w:p>
  <w:p w:rsidR="00920053" w:rsidRPr="005838F7" w:rsidRDefault="009200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989"/>
    <w:multiLevelType w:val="multilevel"/>
    <w:tmpl w:val="35CC1D30"/>
    <w:lvl w:ilvl="0">
      <w:start w:val="1"/>
      <w:numFmt w:val="decimal"/>
      <w:lvlText w:val="%1."/>
      <w:lvlJc w:val="left"/>
      <w:pPr>
        <w:ind w:left="1710" w:hanging="360"/>
      </w:pPr>
      <w:rPr>
        <w:rFonts w:cs="Times New Roman" w:hint="default"/>
        <w:b/>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 w15:restartNumberingAfterBreak="0">
    <w:nsid w:val="03446B5F"/>
    <w:multiLevelType w:val="multilevel"/>
    <w:tmpl w:val="B930D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0A20A7"/>
    <w:multiLevelType w:val="hybridMultilevel"/>
    <w:tmpl w:val="AAF64108"/>
    <w:lvl w:ilvl="0" w:tplc="19ECEEBE">
      <w:start w:val="1"/>
      <w:numFmt w:val="decimal"/>
      <w:lvlText w:val="%1."/>
      <w:lvlJc w:val="left"/>
      <w:pPr>
        <w:ind w:left="644" w:hanging="360"/>
      </w:pPr>
      <w:rPr>
        <w:rFonts w:cs="Times New Roman" w:hint="default"/>
        <w:b/>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3" w15:restartNumberingAfterBreak="0">
    <w:nsid w:val="05757EAF"/>
    <w:multiLevelType w:val="hybridMultilevel"/>
    <w:tmpl w:val="ABFEC056"/>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065A5BC6"/>
    <w:multiLevelType w:val="hybridMultilevel"/>
    <w:tmpl w:val="1A8493BA"/>
    <w:lvl w:ilvl="0" w:tplc="04090005">
      <w:start w:val="1"/>
      <w:numFmt w:val="bullet"/>
      <w:lvlText w:val=""/>
      <w:lvlJc w:val="left"/>
      <w:pPr>
        <w:ind w:left="644" w:hanging="360"/>
      </w:pPr>
      <w:rPr>
        <w:rFonts w:ascii="Wingdings" w:hAnsi="Wingdings" w:hint="default"/>
      </w:rPr>
    </w:lvl>
    <w:lvl w:ilvl="1" w:tplc="040C0005">
      <w:start w:val="1"/>
      <w:numFmt w:val="bullet"/>
      <w:lvlText w:val=""/>
      <w:lvlJc w:val="left"/>
      <w:pPr>
        <w:ind w:left="1364" w:hanging="360"/>
      </w:pPr>
      <w:rPr>
        <w:rFonts w:ascii="Wingdings" w:hAnsi="Wingdings"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933265E"/>
    <w:multiLevelType w:val="hybridMultilevel"/>
    <w:tmpl w:val="5D2CF6B2"/>
    <w:lvl w:ilvl="0" w:tplc="B4EA2662">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B532A0C"/>
    <w:multiLevelType w:val="hybridMultilevel"/>
    <w:tmpl w:val="A15CC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025449"/>
    <w:multiLevelType w:val="hybridMultilevel"/>
    <w:tmpl w:val="5C9C5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713B7E"/>
    <w:multiLevelType w:val="multilevel"/>
    <w:tmpl w:val="215ABB5A"/>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9621A0"/>
    <w:multiLevelType w:val="hybridMultilevel"/>
    <w:tmpl w:val="48FEA1F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0FB12947"/>
    <w:multiLevelType w:val="hybridMultilevel"/>
    <w:tmpl w:val="86D2A24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7F96D9D"/>
    <w:multiLevelType w:val="hybridMultilevel"/>
    <w:tmpl w:val="24308D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19DE7F39"/>
    <w:multiLevelType w:val="hybridMultilevel"/>
    <w:tmpl w:val="0194E5B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D14B02"/>
    <w:multiLevelType w:val="hybridMultilevel"/>
    <w:tmpl w:val="88EAEA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D16004"/>
    <w:multiLevelType w:val="hybridMultilevel"/>
    <w:tmpl w:val="812A9F54"/>
    <w:lvl w:ilvl="0" w:tplc="221279F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38C637E"/>
    <w:multiLevelType w:val="hybridMultilevel"/>
    <w:tmpl w:val="24FADE04"/>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7" w15:restartNumberingAfterBreak="0">
    <w:nsid w:val="2740070B"/>
    <w:multiLevelType w:val="hybridMultilevel"/>
    <w:tmpl w:val="CD2EF820"/>
    <w:lvl w:ilvl="0" w:tplc="80162BC8">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2B7A1C36"/>
    <w:multiLevelType w:val="hybridMultilevel"/>
    <w:tmpl w:val="F0440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F650EB"/>
    <w:multiLevelType w:val="hybridMultilevel"/>
    <w:tmpl w:val="17B4A97A"/>
    <w:lvl w:ilvl="0" w:tplc="1982FDD8">
      <w:start w:val="1"/>
      <w:numFmt w:val="upperLetter"/>
      <w:lvlText w:val="%1."/>
      <w:lvlJc w:val="left"/>
      <w:pPr>
        <w:ind w:left="786" w:hanging="360"/>
      </w:pPr>
      <w:rPr>
        <w:rFonts w:cs="Times New Roman"/>
        <w:b/>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0" w15:restartNumberingAfterBreak="0">
    <w:nsid w:val="31DA3528"/>
    <w:multiLevelType w:val="hybridMultilevel"/>
    <w:tmpl w:val="EC169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651F8"/>
    <w:multiLevelType w:val="hybridMultilevel"/>
    <w:tmpl w:val="8F320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7A6FD9"/>
    <w:multiLevelType w:val="hybridMultilevel"/>
    <w:tmpl w:val="4BAA3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D6011C"/>
    <w:multiLevelType w:val="hybridMultilevel"/>
    <w:tmpl w:val="78249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695033"/>
    <w:multiLevelType w:val="hybridMultilevel"/>
    <w:tmpl w:val="A3BCCF4E"/>
    <w:lvl w:ilvl="0" w:tplc="7964978E">
      <w:start w:val="1"/>
      <w:numFmt w:val="upp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3D2039BD"/>
    <w:multiLevelType w:val="hybridMultilevel"/>
    <w:tmpl w:val="9580C280"/>
    <w:lvl w:ilvl="0" w:tplc="B4EA2662">
      <w:numFmt w:val="bullet"/>
      <w:lvlText w:val="-"/>
      <w:lvlJc w:val="left"/>
      <w:pPr>
        <w:ind w:left="106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15:restartNumberingAfterBreak="0">
    <w:nsid w:val="42143DDD"/>
    <w:multiLevelType w:val="hybridMultilevel"/>
    <w:tmpl w:val="3294C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7165F3"/>
    <w:multiLevelType w:val="hybridMultilevel"/>
    <w:tmpl w:val="D0724FF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15:restartNumberingAfterBreak="0">
    <w:nsid w:val="4DB6050B"/>
    <w:multiLevelType w:val="multilevel"/>
    <w:tmpl w:val="6AA2256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48660FE"/>
    <w:multiLevelType w:val="hybridMultilevel"/>
    <w:tmpl w:val="DEF027BA"/>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0" w15:restartNumberingAfterBreak="0">
    <w:nsid w:val="56554EE6"/>
    <w:multiLevelType w:val="hybridMultilevel"/>
    <w:tmpl w:val="1BFE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121122"/>
    <w:multiLevelType w:val="multilevel"/>
    <w:tmpl w:val="CF161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D500062"/>
    <w:multiLevelType w:val="multilevel"/>
    <w:tmpl w:val="DA708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D7D53E9"/>
    <w:multiLevelType w:val="hybridMultilevel"/>
    <w:tmpl w:val="D254861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5DF67010"/>
    <w:multiLevelType w:val="hybridMultilevel"/>
    <w:tmpl w:val="D6B8C9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15:restartNumberingAfterBreak="0">
    <w:nsid w:val="5F964F21"/>
    <w:multiLevelType w:val="hybridMultilevel"/>
    <w:tmpl w:val="EF86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54A31"/>
    <w:multiLevelType w:val="hybridMultilevel"/>
    <w:tmpl w:val="D8CE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2034BC"/>
    <w:multiLevelType w:val="multilevel"/>
    <w:tmpl w:val="8B8C1E7E"/>
    <w:lvl w:ilvl="0">
      <w:start w:val="1"/>
      <w:numFmt w:val="decimal"/>
      <w:lvlText w:val="%1."/>
      <w:lvlJc w:val="left"/>
      <w:pPr>
        <w:ind w:left="786" w:hanging="360"/>
      </w:pPr>
      <w:rPr>
        <w:rFonts w:cs="Times New Roman"/>
      </w:rPr>
    </w:lvl>
    <w:lvl w:ilvl="1">
      <w:start w:val="1"/>
      <w:numFmt w:val="decimal"/>
      <w:isLgl/>
      <w:lvlText w:val="%1.%2"/>
      <w:lvlJc w:val="left"/>
      <w:pPr>
        <w:ind w:left="975" w:hanging="360"/>
      </w:pPr>
      <w:rPr>
        <w:rFonts w:cs="Times New Roman" w:hint="default"/>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540" w:hanging="1080"/>
      </w:pPr>
      <w:rPr>
        <w:rFonts w:cs="Times New Roman" w:hint="default"/>
      </w:rPr>
    </w:lvl>
    <w:lvl w:ilvl="5">
      <w:start w:val="1"/>
      <w:numFmt w:val="decimal"/>
      <w:isLgl/>
      <w:lvlText w:val="%1.%2.%3.%4.%5.%6"/>
      <w:lvlJc w:val="left"/>
      <w:pPr>
        <w:ind w:left="4155" w:hanging="108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5745" w:hanging="1440"/>
      </w:pPr>
      <w:rPr>
        <w:rFonts w:cs="Times New Roman" w:hint="default"/>
      </w:rPr>
    </w:lvl>
    <w:lvl w:ilvl="8">
      <w:start w:val="1"/>
      <w:numFmt w:val="decimal"/>
      <w:isLgl/>
      <w:lvlText w:val="%1.%2.%3.%4.%5.%6.%7.%8.%9"/>
      <w:lvlJc w:val="left"/>
      <w:pPr>
        <w:ind w:left="6360" w:hanging="1440"/>
      </w:pPr>
      <w:rPr>
        <w:rFonts w:cs="Times New Roman" w:hint="default"/>
      </w:rPr>
    </w:lvl>
  </w:abstractNum>
  <w:abstractNum w:abstractNumId="38" w15:restartNumberingAfterBreak="0">
    <w:nsid w:val="693154F1"/>
    <w:multiLevelType w:val="hybridMultilevel"/>
    <w:tmpl w:val="90D8547E"/>
    <w:lvl w:ilvl="0" w:tplc="CBFC0928">
      <w:start w:val="12"/>
      <w:numFmt w:val="decimal"/>
      <w:lvlText w:val="%1."/>
      <w:lvlJc w:val="left"/>
      <w:pPr>
        <w:ind w:left="270" w:hanging="360"/>
      </w:pPr>
      <w:rPr>
        <w:rFonts w:hint="defaul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39" w15:restartNumberingAfterBreak="0">
    <w:nsid w:val="6BB24AA4"/>
    <w:multiLevelType w:val="hybridMultilevel"/>
    <w:tmpl w:val="DB12DB32"/>
    <w:lvl w:ilvl="0" w:tplc="C2EA06A0">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CDE5C6B"/>
    <w:multiLevelType w:val="hybridMultilevel"/>
    <w:tmpl w:val="7E784392"/>
    <w:lvl w:ilvl="0" w:tplc="DCC031B0">
      <w:numFmt w:val="bullet"/>
      <w:lvlText w:val="-"/>
      <w:lvlJc w:val="left"/>
      <w:pPr>
        <w:ind w:left="1080" w:hanging="360"/>
      </w:pPr>
      <w:rPr>
        <w:rFonts w:ascii="Arial Narrow" w:eastAsia="Times New Roman"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F975D0"/>
    <w:multiLevelType w:val="hybridMultilevel"/>
    <w:tmpl w:val="FC84D7C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2" w15:restartNumberingAfterBreak="0">
    <w:nsid w:val="727E172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F16407"/>
    <w:multiLevelType w:val="hybridMultilevel"/>
    <w:tmpl w:val="0A9C5904"/>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7A26315"/>
    <w:multiLevelType w:val="hybridMultilevel"/>
    <w:tmpl w:val="DAE403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9005A72"/>
    <w:multiLevelType w:val="multilevel"/>
    <w:tmpl w:val="094E77B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6" w15:restartNumberingAfterBreak="0">
    <w:nsid w:val="7C2C7C4E"/>
    <w:multiLevelType w:val="hybridMultilevel"/>
    <w:tmpl w:val="F9864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8"/>
  </w:num>
  <w:num w:numId="4">
    <w:abstractNumId w:val="45"/>
  </w:num>
  <w:num w:numId="5">
    <w:abstractNumId w:val="31"/>
  </w:num>
  <w:num w:numId="6">
    <w:abstractNumId w:val="8"/>
  </w:num>
  <w:num w:numId="7">
    <w:abstractNumId w:val="1"/>
  </w:num>
  <w:num w:numId="8">
    <w:abstractNumId w:val="12"/>
  </w:num>
  <w:num w:numId="9">
    <w:abstractNumId w:val="13"/>
  </w:num>
  <w:num w:numId="10">
    <w:abstractNumId w:val="33"/>
  </w:num>
  <w:num w:numId="11">
    <w:abstractNumId w:val="34"/>
  </w:num>
  <w:num w:numId="12">
    <w:abstractNumId w:val="27"/>
  </w:num>
  <w:num w:numId="13">
    <w:abstractNumId w:val="42"/>
  </w:num>
  <w:num w:numId="14">
    <w:abstractNumId w:val="43"/>
  </w:num>
  <w:num w:numId="15">
    <w:abstractNumId w:val="39"/>
  </w:num>
  <w:num w:numId="16">
    <w:abstractNumId w:val="3"/>
  </w:num>
  <w:num w:numId="17">
    <w:abstractNumId w:val="35"/>
  </w:num>
  <w:num w:numId="18">
    <w:abstractNumId w:val="0"/>
  </w:num>
  <w:num w:numId="19">
    <w:abstractNumId w:val="17"/>
  </w:num>
  <w:num w:numId="20">
    <w:abstractNumId w:val="19"/>
  </w:num>
  <w:num w:numId="21">
    <w:abstractNumId w:val="24"/>
  </w:num>
  <w:num w:numId="22">
    <w:abstractNumId w:val="5"/>
  </w:num>
  <w:num w:numId="23">
    <w:abstractNumId w:val="37"/>
  </w:num>
  <w:num w:numId="24">
    <w:abstractNumId w:val="4"/>
  </w:num>
  <w:num w:numId="25">
    <w:abstractNumId w:val="10"/>
  </w:num>
  <w:num w:numId="26">
    <w:abstractNumId w:val="25"/>
  </w:num>
  <w:num w:numId="27">
    <w:abstractNumId w:val="44"/>
  </w:num>
  <w:num w:numId="28">
    <w:abstractNumId w:val="11"/>
  </w:num>
  <w:num w:numId="29">
    <w:abstractNumId w:val="2"/>
  </w:num>
  <w:num w:numId="30">
    <w:abstractNumId w:val="40"/>
  </w:num>
  <w:num w:numId="31">
    <w:abstractNumId w:val="41"/>
  </w:num>
  <w:num w:numId="32">
    <w:abstractNumId w:val="26"/>
  </w:num>
  <w:num w:numId="33">
    <w:abstractNumId w:val="23"/>
  </w:num>
  <w:num w:numId="34">
    <w:abstractNumId w:val="7"/>
  </w:num>
  <w:num w:numId="35">
    <w:abstractNumId w:val="20"/>
  </w:num>
  <w:num w:numId="36">
    <w:abstractNumId w:val="30"/>
  </w:num>
  <w:num w:numId="37">
    <w:abstractNumId w:val="9"/>
  </w:num>
  <w:num w:numId="38">
    <w:abstractNumId w:val="6"/>
  </w:num>
  <w:num w:numId="39">
    <w:abstractNumId w:val="36"/>
  </w:num>
  <w:num w:numId="40">
    <w:abstractNumId w:val="18"/>
  </w:num>
  <w:num w:numId="41">
    <w:abstractNumId w:val="46"/>
  </w:num>
  <w:num w:numId="42">
    <w:abstractNumId w:val="21"/>
  </w:num>
  <w:num w:numId="43">
    <w:abstractNumId w:val="16"/>
  </w:num>
  <w:num w:numId="44">
    <w:abstractNumId w:val="29"/>
  </w:num>
  <w:num w:numId="45">
    <w:abstractNumId w:val="22"/>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9"/>
    <w:rsid w:val="000062EE"/>
    <w:rsid w:val="000142C8"/>
    <w:rsid w:val="00014F2A"/>
    <w:rsid w:val="00037E07"/>
    <w:rsid w:val="00043048"/>
    <w:rsid w:val="00043BF4"/>
    <w:rsid w:val="00065140"/>
    <w:rsid w:val="00065F55"/>
    <w:rsid w:val="00075513"/>
    <w:rsid w:val="001160D9"/>
    <w:rsid w:val="001214A6"/>
    <w:rsid w:val="00147CC9"/>
    <w:rsid w:val="001B36AE"/>
    <w:rsid w:val="0026617D"/>
    <w:rsid w:val="00277D19"/>
    <w:rsid w:val="00284745"/>
    <w:rsid w:val="002C16EA"/>
    <w:rsid w:val="002D55AD"/>
    <w:rsid w:val="002E3CC9"/>
    <w:rsid w:val="00302C16"/>
    <w:rsid w:val="0030303F"/>
    <w:rsid w:val="00307B7A"/>
    <w:rsid w:val="00392B69"/>
    <w:rsid w:val="0041042B"/>
    <w:rsid w:val="00427CB7"/>
    <w:rsid w:val="00435106"/>
    <w:rsid w:val="00453D3E"/>
    <w:rsid w:val="00490207"/>
    <w:rsid w:val="004936CA"/>
    <w:rsid w:val="004A0E54"/>
    <w:rsid w:val="004B49FD"/>
    <w:rsid w:val="004D2E5F"/>
    <w:rsid w:val="004E1FA9"/>
    <w:rsid w:val="0051377D"/>
    <w:rsid w:val="00551F68"/>
    <w:rsid w:val="005838F7"/>
    <w:rsid w:val="005A2CEE"/>
    <w:rsid w:val="005E167C"/>
    <w:rsid w:val="006358BE"/>
    <w:rsid w:val="006364ED"/>
    <w:rsid w:val="00642B01"/>
    <w:rsid w:val="006454D2"/>
    <w:rsid w:val="00661856"/>
    <w:rsid w:val="0066300E"/>
    <w:rsid w:val="006932A5"/>
    <w:rsid w:val="006E3399"/>
    <w:rsid w:val="00732347"/>
    <w:rsid w:val="00765A5B"/>
    <w:rsid w:val="007679F9"/>
    <w:rsid w:val="0077096B"/>
    <w:rsid w:val="00797662"/>
    <w:rsid w:val="007A793C"/>
    <w:rsid w:val="007D10A7"/>
    <w:rsid w:val="007D189F"/>
    <w:rsid w:val="0084159D"/>
    <w:rsid w:val="0084346F"/>
    <w:rsid w:val="00881153"/>
    <w:rsid w:val="00894A3D"/>
    <w:rsid w:val="008D16C3"/>
    <w:rsid w:val="008D4EB3"/>
    <w:rsid w:val="00914BF5"/>
    <w:rsid w:val="00920053"/>
    <w:rsid w:val="0092492B"/>
    <w:rsid w:val="00930BB4"/>
    <w:rsid w:val="009520EE"/>
    <w:rsid w:val="00995A6E"/>
    <w:rsid w:val="009B39CA"/>
    <w:rsid w:val="009C46A3"/>
    <w:rsid w:val="009F18C1"/>
    <w:rsid w:val="00A12803"/>
    <w:rsid w:val="00A16D7E"/>
    <w:rsid w:val="00A21F9B"/>
    <w:rsid w:val="00A5111A"/>
    <w:rsid w:val="00A518F0"/>
    <w:rsid w:val="00A63DC5"/>
    <w:rsid w:val="00AA3B39"/>
    <w:rsid w:val="00AB54F2"/>
    <w:rsid w:val="00B0007F"/>
    <w:rsid w:val="00B2441F"/>
    <w:rsid w:val="00B55945"/>
    <w:rsid w:val="00B8285C"/>
    <w:rsid w:val="00B91FDD"/>
    <w:rsid w:val="00BD067A"/>
    <w:rsid w:val="00BD4E06"/>
    <w:rsid w:val="00BD6C58"/>
    <w:rsid w:val="00BD6C8B"/>
    <w:rsid w:val="00BF7CC4"/>
    <w:rsid w:val="00C644FC"/>
    <w:rsid w:val="00C87AFF"/>
    <w:rsid w:val="00C87FF3"/>
    <w:rsid w:val="00CA3A56"/>
    <w:rsid w:val="00CD2032"/>
    <w:rsid w:val="00CD5833"/>
    <w:rsid w:val="00CE393F"/>
    <w:rsid w:val="00CE421F"/>
    <w:rsid w:val="00D60E01"/>
    <w:rsid w:val="00D67FDB"/>
    <w:rsid w:val="00D74CBC"/>
    <w:rsid w:val="00D82DFB"/>
    <w:rsid w:val="00D95D8D"/>
    <w:rsid w:val="00DF7BF8"/>
    <w:rsid w:val="00E043AF"/>
    <w:rsid w:val="00E102CC"/>
    <w:rsid w:val="00ED1C33"/>
    <w:rsid w:val="00F4554A"/>
    <w:rsid w:val="00F71C2E"/>
    <w:rsid w:val="00FA1F6F"/>
    <w:rsid w:val="00FA4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22EE5"/>
  <w15:docId w15:val="{AFCC2617-E3D0-41AD-A506-F323FD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F18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uiPriority w:val="99"/>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aliases w:val="References Char,MCHIP_list paragraph Char,List Paragraph1 Char,Recommendation Char,Bullet List Char,FooterText Char,Bioforce zListePuce Char,Colorful List - Accent 11 Char,numbered Char,Paragraphe de liste1 Char,列出段落 Char,列出段落1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uiPriority w:val="99"/>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aliases w:val="References,MCHIP_list paragraph,List Paragraph1,Recommendation,Bullet List,FooterText,Bioforce zListePuce,Colorful List - Accent 11,numbered,Paragraphe de liste1,列出段落,列出段落1,Bulletr List Paragraph,List Paragraph2,List Paragraph21,リスト段落1"/>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uiPriority w:val="59"/>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1153"/>
    <w:rPr>
      <w:color w:val="003366"/>
      <w:u w:val="single"/>
    </w:rPr>
  </w:style>
  <w:style w:type="character" w:customStyle="1" w:styleId="Heading4Char">
    <w:name w:val="Heading 4 Char"/>
    <w:basedOn w:val="DefaultParagraphFont"/>
    <w:link w:val="Heading4"/>
    <w:semiHidden/>
    <w:rsid w:val="009F18C1"/>
    <w:rPr>
      <w:rFonts w:asciiTheme="majorHAnsi" w:eastAsiaTheme="majorEastAsia" w:hAnsiTheme="majorHAnsi" w:cstheme="majorBidi"/>
      <w:i/>
      <w:iCs/>
      <w:color w:val="365F91" w:themeColor="accent1" w:themeShade="BF"/>
      <w:lang w:eastAsia="en-US"/>
    </w:rPr>
  </w:style>
  <w:style w:type="paragraph" w:customStyle="1" w:styleId="Default">
    <w:name w:val="Default"/>
    <w:link w:val="DefaultChar"/>
    <w:rsid w:val="009F18C1"/>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locked/>
    <w:rsid w:val="009F18C1"/>
    <w:rPr>
      <w:rFonts w:ascii="Arial" w:hAnsi="Arial" w:cs="Arial"/>
      <w:color w:val="000000"/>
      <w:sz w:val="24"/>
      <w:szCs w:val="24"/>
      <w:lang w:val="en-US" w:eastAsia="en-US"/>
    </w:rPr>
  </w:style>
  <w:style w:type="paragraph" w:styleId="NoSpacing">
    <w:name w:val="No Spacing"/>
    <w:uiPriority w:val="1"/>
    <w:qFormat/>
    <w:rsid w:val="009F18C1"/>
    <w:rPr>
      <w:rFonts w:asciiTheme="minorHAnsi" w:hAnsiTheme="minorHAnsi" w:cs="Calibri"/>
      <w:sz w:val="22"/>
      <w:szCs w:val="22"/>
      <w:lang w:eastAsia="en-US"/>
    </w:rPr>
  </w:style>
  <w:style w:type="paragraph" w:customStyle="1" w:styleId="TableContents">
    <w:name w:val="Table Contents"/>
    <w:basedOn w:val="Normal"/>
    <w:rsid w:val="009F18C1"/>
    <w:pPr>
      <w:widowControl w:val="0"/>
      <w:suppressLineNumbers/>
      <w:suppressAutoHyphens/>
    </w:pPr>
    <w:rPr>
      <w:rFonts w:ascii="Thorndale AMT" w:hAnsi="Thorndale AMT" w:cs="Albany AMT"/>
      <w:sz w:val="24"/>
      <w:szCs w:val="24"/>
    </w:rPr>
  </w:style>
  <w:style w:type="paragraph" w:customStyle="1" w:styleId="paragraph">
    <w:name w:val="paragraph"/>
    <w:basedOn w:val="Normal"/>
    <w:link w:val="paragraphChar"/>
    <w:rsid w:val="009F18C1"/>
    <w:pPr>
      <w:spacing w:before="100" w:beforeAutospacing="1" w:after="100" w:afterAutospacing="1"/>
    </w:pPr>
    <w:rPr>
      <w:sz w:val="24"/>
      <w:szCs w:val="24"/>
      <w:lang w:val="fr-ML" w:eastAsia="fr-ML"/>
    </w:rPr>
  </w:style>
  <w:style w:type="character" w:customStyle="1" w:styleId="paragraphChar">
    <w:name w:val="paragraph Char"/>
    <w:basedOn w:val="DefaultParagraphFont"/>
    <w:link w:val="paragraph"/>
    <w:locked/>
    <w:rsid w:val="009F18C1"/>
    <w:rPr>
      <w:sz w:val="24"/>
      <w:szCs w:val="24"/>
      <w:lang w:val="fr-ML" w:eastAsia="fr-M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unfpa.org/resources/fraud-policy-2009"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rocurement@unfpa.org" TargetMode="External"/><Relationship Id="rId7" Type="http://schemas.openxmlformats.org/officeDocument/2006/relationships/settings" Target="settings.xml"/><Relationship Id="rId12" Type="http://schemas.openxmlformats.org/officeDocument/2006/relationships/hyperlink" Target="http://www.unfpa.org/about-us" TargetMode="External"/><Relationship Id="rId17" Type="http://schemas.openxmlformats.org/officeDocument/2006/relationships/hyperlink" Target="http://www.unfpa.org/about-procuremen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inprocurement@unfpa.org" TargetMode="External"/><Relationship Id="rId20" Type="http://schemas.openxmlformats.org/officeDocument/2006/relationships/hyperlink" Target="http://www.unfpa.org/abou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fpa.org/sites/default/files/resource-pdf/UNFPA%20General%20Conditions%20-%20De%20Minimis%20Contracts%20FR_0.pdf" TargetMode="External"/><Relationship Id="rId5" Type="http://schemas.openxmlformats.org/officeDocument/2006/relationships/numbering" Target="numbering.xml"/><Relationship Id="rId15" Type="http://schemas.openxmlformats.org/officeDocument/2006/relationships/hyperlink" Target="mailto:ginprocurement@unfpa.org" TargetMode="External"/><Relationship Id="rId23" Type="http://schemas.openxmlformats.org/officeDocument/2006/relationships/hyperlink" Target="http://www.unfpa.org/sites/default/files/resource-pdf/UNFPA%20General%20Conditions%20-%20De%20Minimis%20Contracts%20SP_0.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b2.unfpa.org/help/hotline.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unfpa.org/resources/unfpa-general-conditions-de-minimis-contract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59174-0EA0-4C8B-92F7-9E6771C5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hadiatoulaye.barry</cp:lastModifiedBy>
  <cp:revision>2</cp:revision>
  <dcterms:created xsi:type="dcterms:W3CDTF">2022-02-19T01:47:00Z</dcterms:created>
  <dcterms:modified xsi:type="dcterms:W3CDTF">2022-02-19T01:47:00Z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