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478" w:rsidRPr="006A5478" w:rsidRDefault="006A5478">
      <w:pPr>
        <w:spacing w:before="240" w:line="276" w:lineRule="auto"/>
        <w:jc w:val="center"/>
        <w:rPr>
          <w:rFonts w:ascii="Calibri" w:eastAsia="Calibri" w:hAnsi="Calibri" w:cs="Calibri"/>
          <w:b/>
          <w:color w:val="1F497D"/>
          <w:sz w:val="32"/>
          <w:szCs w:val="32"/>
          <w:u w:val="single"/>
          <w:lang w:val="fr-FR"/>
        </w:rPr>
      </w:pPr>
      <w:r w:rsidRPr="006A5478">
        <w:rPr>
          <w:rFonts w:ascii="Calibri" w:eastAsia="Calibri" w:hAnsi="Calibri" w:cs="Calibri"/>
          <w:b/>
          <w:color w:val="1F497D"/>
          <w:sz w:val="32"/>
          <w:szCs w:val="32"/>
          <w:u w:val="single"/>
          <w:lang w:val="fr-FR"/>
        </w:rPr>
        <w:t>Termes de Référence</w:t>
      </w:r>
    </w:p>
    <w:p w:rsidR="006A5478" w:rsidRDefault="00E33E2E" w:rsidP="006A5478">
      <w:pPr>
        <w:spacing w:before="240" w:line="276" w:lineRule="auto"/>
        <w:rPr>
          <w:rFonts w:ascii="Calibri" w:eastAsia="Calibri" w:hAnsi="Calibri" w:cs="Calibri"/>
          <w:b/>
          <w:color w:val="244061"/>
          <w:lang w:val="fr-FR"/>
        </w:rPr>
      </w:pPr>
      <w:r>
        <w:rPr>
          <w:rFonts w:ascii="Calibri" w:eastAsia="Calibri" w:hAnsi="Calibri" w:cs="Calibri"/>
          <w:b/>
          <w:color w:val="244061"/>
          <w:lang w:val="fr-FR"/>
        </w:rPr>
        <w:t xml:space="preserve">Titre du </w:t>
      </w:r>
      <w:r w:rsidR="00D91A43">
        <w:rPr>
          <w:rFonts w:ascii="Calibri" w:eastAsia="Calibri" w:hAnsi="Calibri" w:cs="Calibri"/>
          <w:b/>
          <w:color w:val="244061"/>
          <w:lang w:val="fr-FR"/>
        </w:rPr>
        <w:t>Poste</w:t>
      </w:r>
      <w:r w:rsidR="00D91A43" w:rsidRPr="006A5478">
        <w:rPr>
          <w:rFonts w:ascii="Calibri" w:eastAsia="Calibri" w:hAnsi="Calibri" w:cs="Calibri"/>
          <w:b/>
          <w:color w:val="244061"/>
          <w:lang w:val="fr-FR"/>
        </w:rPr>
        <w:t xml:space="preserve"> :</w:t>
      </w:r>
      <w:r w:rsidR="00080EC4" w:rsidRPr="006A5478">
        <w:rPr>
          <w:rFonts w:ascii="Calibri" w:eastAsia="Calibri" w:hAnsi="Calibri" w:cs="Calibri"/>
          <w:b/>
          <w:color w:val="244061"/>
          <w:lang w:val="fr-FR"/>
        </w:rPr>
        <w:t xml:space="preserve">     </w:t>
      </w:r>
      <w:r w:rsidR="0021685A" w:rsidRPr="006A5478">
        <w:rPr>
          <w:rFonts w:ascii="Calibri" w:eastAsia="Calibri" w:hAnsi="Calibri" w:cs="Calibri"/>
          <w:b/>
          <w:color w:val="244061"/>
          <w:lang w:val="fr-FR"/>
        </w:rPr>
        <w:t>Cons</w:t>
      </w:r>
      <w:r w:rsidR="00EF6638">
        <w:rPr>
          <w:rFonts w:ascii="Calibri" w:eastAsia="Calibri" w:hAnsi="Calibri" w:cs="Calibri"/>
          <w:b/>
          <w:color w:val="244061"/>
          <w:lang w:val="fr-FR"/>
        </w:rPr>
        <w:t xml:space="preserve">ultant/Consultante pour l’élaboration du rapport pays de suivi de la mise en œuvre de l’agenda de la </w:t>
      </w:r>
      <w:r w:rsidR="00120D81">
        <w:rPr>
          <w:rFonts w:ascii="Calibri" w:eastAsia="Calibri" w:hAnsi="Calibri" w:cs="Calibri"/>
          <w:b/>
          <w:color w:val="244061"/>
          <w:lang w:val="fr-FR"/>
        </w:rPr>
        <w:t>Conférence Internationale de la Population et développement (</w:t>
      </w:r>
      <w:r w:rsidR="00EF6638">
        <w:rPr>
          <w:rFonts w:ascii="Calibri" w:eastAsia="Calibri" w:hAnsi="Calibri" w:cs="Calibri"/>
          <w:b/>
          <w:color w:val="244061"/>
          <w:lang w:val="fr-FR"/>
        </w:rPr>
        <w:t>CIPD</w:t>
      </w:r>
      <w:r w:rsidR="00120D81">
        <w:rPr>
          <w:rFonts w:ascii="Calibri" w:eastAsia="Calibri" w:hAnsi="Calibri" w:cs="Calibri"/>
          <w:b/>
          <w:color w:val="244061"/>
          <w:lang w:val="fr-FR"/>
        </w:rPr>
        <w:t>)</w:t>
      </w:r>
    </w:p>
    <w:p w:rsidR="006A5478" w:rsidRPr="006A5478" w:rsidRDefault="006A5478" w:rsidP="006A5478">
      <w:pPr>
        <w:spacing w:before="240" w:after="240"/>
        <w:rPr>
          <w:rFonts w:ascii="Calibri" w:eastAsia="Calibri" w:hAnsi="Calibri" w:cs="Calibri"/>
          <w:b/>
          <w:color w:val="244061"/>
          <w:lang w:val="fr-FR"/>
        </w:rPr>
      </w:pPr>
      <w:r w:rsidRPr="006A5478">
        <w:rPr>
          <w:rFonts w:ascii="Calibri" w:eastAsia="Calibri" w:hAnsi="Calibri" w:cs="Calibri"/>
          <w:b/>
          <w:color w:val="244061"/>
          <w:lang w:val="fr-FR"/>
        </w:rPr>
        <w:t>Type</w:t>
      </w:r>
      <w:r w:rsidR="00E33E2E">
        <w:rPr>
          <w:rFonts w:ascii="Calibri" w:eastAsia="Calibri" w:hAnsi="Calibri" w:cs="Calibri"/>
          <w:b/>
          <w:color w:val="244061"/>
          <w:lang w:val="fr-FR"/>
        </w:rPr>
        <w:t xml:space="preserve"> de Contrat</w:t>
      </w:r>
      <w:r w:rsidR="00E33E2E" w:rsidRPr="006A5478">
        <w:rPr>
          <w:rFonts w:ascii="Calibri" w:eastAsia="Calibri" w:hAnsi="Calibri" w:cs="Calibri"/>
          <w:b/>
          <w:color w:val="244061"/>
          <w:lang w:val="fr-FR"/>
        </w:rPr>
        <w:t xml:space="preserve"> :</w:t>
      </w:r>
      <w:r w:rsidRPr="006A5478">
        <w:rPr>
          <w:rFonts w:ascii="Calibri" w:eastAsia="Calibri" w:hAnsi="Calibri" w:cs="Calibri"/>
          <w:b/>
          <w:color w:val="244061"/>
          <w:lang w:val="fr-FR"/>
        </w:rPr>
        <w:t xml:space="preserve"> </w:t>
      </w:r>
      <w:r w:rsidR="00E33E2E">
        <w:rPr>
          <w:rFonts w:ascii="Calibri" w:eastAsia="Calibri" w:hAnsi="Calibri" w:cs="Calibri"/>
          <w:b/>
          <w:color w:val="244061"/>
          <w:lang w:val="fr-FR"/>
        </w:rPr>
        <w:t xml:space="preserve">  </w:t>
      </w:r>
      <w:r w:rsidRPr="006A5478">
        <w:rPr>
          <w:rFonts w:ascii="Calibri" w:eastAsia="Calibri" w:hAnsi="Calibri" w:cs="Calibri"/>
          <w:b/>
          <w:color w:val="244061"/>
          <w:lang w:val="fr-FR"/>
        </w:rPr>
        <w:t xml:space="preserve">Consultance             </w:t>
      </w:r>
      <w:r w:rsidRPr="006A5478">
        <w:rPr>
          <w:rFonts w:ascii="Calibri" w:eastAsia="Calibri" w:hAnsi="Calibri" w:cs="Calibri"/>
          <w:b/>
          <w:color w:val="244061"/>
          <w:lang w:val="fr-FR"/>
        </w:rPr>
        <w:tab/>
        <w:t xml:space="preserve">        </w:t>
      </w:r>
      <w:r w:rsidRPr="006A5478">
        <w:rPr>
          <w:rFonts w:ascii="Calibri" w:eastAsia="Calibri" w:hAnsi="Calibri" w:cs="Calibri"/>
          <w:b/>
          <w:color w:val="244061"/>
          <w:lang w:val="fr-FR"/>
        </w:rPr>
        <w:tab/>
        <w:t xml:space="preserve">                         </w:t>
      </w:r>
      <w:r w:rsidRPr="006A5478">
        <w:rPr>
          <w:rFonts w:ascii="Calibri" w:eastAsia="Calibri" w:hAnsi="Calibri" w:cs="Calibri"/>
          <w:b/>
          <w:color w:val="244061"/>
          <w:lang w:val="fr-FR"/>
        </w:rPr>
        <w:tab/>
        <w:t xml:space="preserve"> </w:t>
      </w:r>
    </w:p>
    <w:p w:rsidR="006A5478" w:rsidRPr="006A5478" w:rsidRDefault="006A5478" w:rsidP="006A5478">
      <w:pPr>
        <w:spacing w:before="240" w:after="240"/>
        <w:rPr>
          <w:rFonts w:ascii="Calibri" w:eastAsia="Calibri" w:hAnsi="Calibri" w:cs="Calibri"/>
          <w:b/>
          <w:color w:val="244061"/>
          <w:lang w:val="fr-FR"/>
        </w:rPr>
      </w:pPr>
      <w:r w:rsidRPr="006A5478">
        <w:rPr>
          <w:rFonts w:ascii="Calibri" w:eastAsia="Calibri" w:hAnsi="Calibri" w:cs="Calibri"/>
          <w:b/>
          <w:color w:val="244061"/>
          <w:lang w:val="fr-FR"/>
        </w:rPr>
        <w:t>Date</w:t>
      </w:r>
      <w:r w:rsidR="00E33E2E">
        <w:rPr>
          <w:rFonts w:ascii="Calibri" w:eastAsia="Calibri" w:hAnsi="Calibri" w:cs="Calibri"/>
          <w:b/>
          <w:color w:val="244061"/>
          <w:lang w:val="fr-FR"/>
        </w:rPr>
        <w:t xml:space="preserve"> limite de dépôt des dossiers</w:t>
      </w:r>
      <w:r w:rsidR="00E33E2E" w:rsidRPr="006A5478">
        <w:rPr>
          <w:rFonts w:ascii="Calibri" w:eastAsia="Calibri" w:hAnsi="Calibri" w:cs="Calibri"/>
          <w:b/>
          <w:color w:val="244061"/>
          <w:lang w:val="fr-FR"/>
        </w:rPr>
        <w:t xml:space="preserve"> :</w:t>
      </w:r>
      <w:r w:rsidRPr="006A5478">
        <w:rPr>
          <w:rFonts w:ascii="Calibri" w:eastAsia="Calibri" w:hAnsi="Calibri" w:cs="Calibri"/>
          <w:b/>
          <w:color w:val="244061"/>
          <w:lang w:val="fr-FR"/>
        </w:rPr>
        <w:t xml:space="preserve">      </w:t>
      </w:r>
      <w:r w:rsidR="00E33E2E">
        <w:rPr>
          <w:rFonts w:ascii="Calibri" w:eastAsia="Calibri" w:hAnsi="Calibri" w:cs="Calibri"/>
          <w:b/>
          <w:color w:val="244061"/>
          <w:lang w:val="fr-FR"/>
        </w:rPr>
        <w:t>03</w:t>
      </w:r>
      <w:r w:rsidR="00520CF2">
        <w:rPr>
          <w:rFonts w:ascii="Calibri" w:eastAsia="Calibri" w:hAnsi="Calibri" w:cs="Calibri"/>
          <w:b/>
          <w:color w:val="244061"/>
          <w:lang w:val="fr-FR"/>
        </w:rPr>
        <w:t xml:space="preserve"> </w:t>
      </w:r>
      <w:r w:rsidR="00E33E2E">
        <w:rPr>
          <w:rFonts w:ascii="Calibri" w:eastAsia="Calibri" w:hAnsi="Calibri" w:cs="Calibri"/>
          <w:b/>
          <w:color w:val="244061"/>
          <w:lang w:val="fr-FR"/>
        </w:rPr>
        <w:t>Avril</w:t>
      </w:r>
      <w:r w:rsidR="00EF6638">
        <w:rPr>
          <w:rFonts w:ascii="Calibri" w:eastAsia="Calibri" w:hAnsi="Calibri" w:cs="Calibri"/>
          <w:b/>
          <w:color w:val="244061"/>
          <w:lang w:val="fr-FR"/>
        </w:rPr>
        <w:t xml:space="preserve"> </w:t>
      </w:r>
      <w:r w:rsidR="00520CF2">
        <w:rPr>
          <w:rFonts w:ascii="Calibri" w:eastAsia="Calibri" w:hAnsi="Calibri" w:cs="Calibri"/>
          <w:b/>
          <w:color w:val="244061"/>
          <w:lang w:val="fr-FR"/>
        </w:rPr>
        <w:t>2023</w:t>
      </w:r>
    </w:p>
    <w:p w:rsidR="006A5478" w:rsidRPr="006A5478" w:rsidRDefault="00E33E2E" w:rsidP="006A5478">
      <w:pPr>
        <w:spacing w:before="240" w:after="240"/>
        <w:rPr>
          <w:rFonts w:ascii="Calibri" w:eastAsia="Calibri" w:hAnsi="Calibri" w:cs="Calibri"/>
          <w:b/>
          <w:color w:val="244061"/>
          <w:lang w:val="fr-FR"/>
        </w:rPr>
      </w:pPr>
      <w:r>
        <w:rPr>
          <w:rFonts w:ascii="Calibri" w:eastAsia="Calibri" w:hAnsi="Calibri" w:cs="Calibri"/>
          <w:b/>
          <w:color w:val="244061"/>
          <w:lang w:val="fr-FR"/>
        </w:rPr>
        <w:t xml:space="preserve">Lieux </w:t>
      </w:r>
      <w:r w:rsidR="00D91A43">
        <w:rPr>
          <w:rFonts w:ascii="Calibri" w:eastAsia="Calibri" w:hAnsi="Calibri" w:cs="Calibri"/>
          <w:b/>
          <w:color w:val="244061"/>
          <w:lang w:val="fr-FR"/>
        </w:rPr>
        <w:t>d’affectation</w:t>
      </w:r>
      <w:r w:rsidR="00D91A43" w:rsidRPr="006A5478">
        <w:rPr>
          <w:rFonts w:ascii="Calibri" w:eastAsia="Calibri" w:hAnsi="Calibri" w:cs="Calibri"/>
          <w:b/>
          <w:color w:val="244061"/>
          <w:lang w:val="fr-FR"/>
        </w:rPr>
        <w:t xml:space="preserve"> :</w:t>
      </w:r>
      <w:r w:rsidR="006A5478" w:rsidRPr="006A5478">
        <w:rPr>
          <w:rFonts w:ascii="Calibri" w:eastAsia="Calibri" w:hAnsi="Calibri" w:cs="Calibri"/>
          <w:b/>
          <w:color w:val="244061"/>
          <w:lang w:val="fr-FR"/>
        </w:rPr>
        <w:t xml:space="preserve">      Guinée Conakry</w:t>
      </w:r>
      <w:r w:rsidR="006A5478" w:rsidRPr="006A5478">
        <w:rPr>
          <w:rFonts w:ascii="Calibri" w:eastAsia="Calibri" w:hAnsi="Calibri" w:cs="Calibri"/>
          <w:b/>
          <w:color w:val="244061"/>
          <w:lang w:val="fr-FR"/>
        </w:rPr>
        <w:tab/>
      </w:r>
    </w:p>
    <w:p w:rsidR="006A5478" w:rsidRDefault="00D91A43" w:rsidP="006A5478">
      <w:pPr>
        <w:spacing w:before="240" w:after="240"/>
        <w:rPr>
          <w:rFonts w:ascii="Calibri" w:eastAsia="Calibri" w:hAnsi="Calibri" w:cs="Calibri"/>
          <w:b/>
          <w:color w:val="244061"/>
          <w:lang w:val="fr-FR"/>
        </w:rPr>
      </w:pPr>
      <w:r>
        <w:rPr>
          <w:rFonts w:ascii="Calibri" w:eastAsia="Calibri" w:hAnsi="Calibri" w:cs="Calibri"/>
          <w:b/>
          <w:color w:val="244061"/>
          <w:lang w:val="fr-FR"/>
        </w:rPr>
        <w:t>Durée :</w:t>
      </w:r>
      <w:r w:rsidR="00E33E2E">
        <w:rPr>
          <w:rFonts w:ascii="Calibri" w:eastAsia="Calibri" w:hAnsi="Calibri" w:cs="Calibri"/>
          <w:b/>
          <w:color w:val="244061"/>
          <w:lang w:val="fr-FR"/>
        </w:rPr>
        <w:t xml:space="preserve"> </w:t>
      </w:r>
      <w:r w:rsidR="006A5478" w:rsidRPr="006A5478">
        <w:rPr>
          <w:rFonts w:ascii="Calibri" w:eastAsia="Calibri" w:hAnsi="Calibri" w:cs="Calibri"/>
          <w:b/>
          <w:color w:val="244061"/>
          <w:lang w:val="fr-FR"/>
        </w:rPr>
        <w:t>Cette consultati</w:t>
      </w:r>
      <w:r w:rsidR="00EF6638">
        <w:rPr>
          <w:rFonts w:ascii="Calibri" w:eastAsia="Calibri" w:hAnsi="Calibri" w:cs="Calibri"/>
          <w:b/>
          <w:color w:val="244061"/>
          <w:lang w:val="fr-FR"/>
        </w:rPr>
        <w:t>on se fera sur une période de 30</w:t>
      </w:r>
      <w:r w:rsidR="006A5478" w:rsidRPr="006A5478">
        <w:rPr>
          <w:rFonts w:ascii="Calibri" w:eastAsia="Calibri" w:hAnsi="Calibri" w:cs="Calibri"/>
          <w:b/>
          <w:color w:val="244061"/>
          <w:lang w:val="fr-FR"/>
        </w:rPr>
        <w:t xml:space="preserve"> jours ouvrables qui pourra être revue à la signature du contrat suivant la disponibilité budgétaire</w:t>
      </w:r>
    </w:p>
    <w:p w:rsidR="000B5199" w:rsidRPr="006A5478" w:rsidRDefault="00E33E2E" w:rsidP="006A5478">
      <w:pPr>
        <w:spacing w:before="240" w:after="240"/>
        <w:rPr>
          <w:rFonts w:ascii="Calibri" w:eastAsia="Calibri" w:hAnsi="Calibri" w:cs="Calibri"/>
          <w:b/>
          <w:color w:val="244061"/>
          <w:lang w:val="fr-FR"/>
        </w:rPr>
      </w:pPr>
      <w:r>
        <w:rPr>
          <w:rFonts w:ascii="Calibri" w:eastAsia="Calibri" w:hAnsi="Calibri" w:cs="Calibri"/>
          <w:b/>
          <w:color w:val="244061"/>
          <w:lang w:val="fr-FR"/>
        </w:rPr>
        <w:t xml:space="preserve">Le </w:t>
      </w:r>
      <w:r w:rsidR="00D91A43">
        <w:rPr>
          <w:rFonts w:ascii="Calibri" w:eastAsia="Calibri" w:hAnsi="Calibri" w:cs="Calibri"/>
          <w:b/>
          <w:color w:val="244061"/>
          <w:lang w:val="fr-FR"/>
        </w:rPr>
        <w:t>Poste</w:t>
      </w:r>
      <w:r w:rsidR="00D91A43" w:rsidRPr="006A5478">
        <w:rPr>
          <w:rFonts w:ascii="Calibri" w:eastAsia="Calibri" w:hAnsi="Calibri" w:cs="Calibri"/>
          <w:b/>
          <w:color w:val="244061"/>
          <w:lang w:val="fr-FR"/>
        </w:rPr>
        <w:t xml:space="preserve"> :</w:t>
      </w:r>
    </w:p>
    <w:p w:rsidR="000B5199" w:rsidRPr="006A5478" w:rsidRDefault="00EC3AB5" w:rsidP="006A5478">
      <w:pPr>
        <w:spacing w:before="240" w:after="80" w:line="276" w:lineRule="auto"/>
        <w:rPr>
          <w:rFonts w:ascii="Calibri" w:eastAsia="Calibri" w:hAnsi="Calibri" w:cs="Calibri"/>
          <w:lang w:val="fr-FR"/>
        </w:rPr>
      </w:pPr>
      <w:r w:rsidRPr="006A5478">
        <w:rPr>
          <w:rFonts w:ascii="Calibri" w:eastAsia="Calibri" w:hAnsi="Calibri" w:cs="Calibri"/>
          <w:lang w:val="fr-FR"/>
        </w:rPr>
        <w:t xml:space="preserve">Le/la Consultant (e) travaillera sous la supervision générale du Représentant de l’UNFPA et la supervision directe du Directeur </w:t>
      </w:r>
      <w:r w:rsidR="00EF6638">
        <w:rPr>
          <w:rFonts w:ascii="Calibri" w:eastAsia="Calibri" w:hAnsi="Calibri" w:cs="Calibri"/>
          <w:lang w:val="fr-FR"/>
        </w:rPr>
        <w:t>national de Population et de Développement (DNPD</w:t>
      </w:r>
      <w:r w:rsidRPr="006A5478">
        <w:rPr>
          <w:rFonts w:ascii="Calibri" w:eastAsia="Calibri" w:hAnsi="Calibri" w:cs="Calibri"/>
          <w:lang w:val="fr-FR"/>
        </w:rPr>
        <w:t>).</w:t>
      </w:r>
      <w:r w:rsidR="00080EC4" w:rsidRPr="006A5478">
        <w:rPr>
          <w:rFonts w:ascii="Calibri" w:eastAsia="Calibri" w:hAnsi="Calibri" w:cs="Calibri"/>
          <w:lang w:val="fr-FR"/>
        </w:rPr>
        <w:t xml:space="preserve"> </w:t>
      </w:r>
    </w:p>
    <w:p w:rsidR="000B5199" w:rsidRPr="00120D81" w:rsidRDefault="00BE7EDF">
      <w:pPr>
        <w:spacing w:before="240" w:after="240"/>
        <w:rPr>
          <w:rFonts w:ascii="Calibri" w:eastAsia="Calibri" w:hAnsi="Calibri" w:cs="Calibri"/>
          <w:b/>
          <w:color w:val="244061"/>
          <w:lang w:val="fr-FR"/>
        </w:rPr>
      </w:pPr>
      <w:r w:rsidRPr="00120D81">
        <w:rPr>
          <w:rFonts w:ascii="Calibri" w:eastAsia="Calibri" w:hAnsi="Calibri" w:cs="Calibri"/>
          <w:b/>
          <w:color w:val="244061"/>
          <w:lang w:val="fr-FR"/>
        </w:rPr>
        <w:t xml:space="preserve">Savoir faire la </w:t>
      </w:r>
      <w:bookmarkStart w:id="0" w:name="_GoBack"/>
      <w:bookmarkEnd w:id="0"/>
      <w:r w:rsidR="00120D81" w:rsidRPr="00120D81">
        <w:rPr>
          <w:rFonts w:ascii="Calibri" w:eastAsia="Calibri" w:hAnsi="Calibri" w:cs="Calibri"/>
          <w:b/>
          <w:color w:val="244061"/>
          <w:lang w:val="fr-FR"/>
        </w:rPr>
        <w:t>différence :</w:t>
      </w:r>
    </w:p>
    <w:p w:rsidR="007836A7" w:rsidRDefault="007836A7" w:rsidP="007836A7">
      <w:pPr>
        <w:spacing w:before="240" w:after="80" w:line="276" w:lineRule="auto"/>
        <w:jc w:val="both"/>
        <w:rPr>
          <w:lang w:val="fr-FR"/>
        </w:rPr>
      </w:pPr>
      <w:r w:rsidRPr="007836A7">
        <w:rPr>
          <w:lang w:val="fr-FR"/>
        </w:rPr>
        <w:t xml:space="preserve">Aujourd'hui, il est mondialement reconnu que la réalisation des droits des femmes et des filles est essentielle au développement. Les origines de cette prise de conscience remontent à la Conférence Internationale sur la Population et le Développement (CIPD) qui a produit un remarquable consensus mondial qui a placé au cœur même, la dignité individuelle et les droits de l'homme, y compris le droit de planifier sa famille. Plus d'un quart de siècle plus tard, le monde a connu des progrès remarquables : il y a eu une augmentation de 25% du taux global de prévalence contraceptive dans le monde, les naissances chez les adolescentes ont fortement diminué et le taux mondial de mortalité maternelle a chuté. Mais les progrès restent lents et inégaux. Les impacts socio-économiques du COVID-19, le changement climatique, l'instabilité économique mondiale et la montée des tensions géopolitiques annulent les gains normatifs dans le paysage des Objectifs du Développent Durable (ODD). </w:t>
      </w:r>
      <w:r w:rsidR="00EE075B">
        <w:rPr>
          <w:lang w:val="fr-FR"/>
        </w:rPr>
        <w:t xml:space="preserve"> Ce qui justifie la présente consultation pour édifier </w:t>
      </w:r>
      <w:r w:rsidR="00120D81">
        <w:rPr>
          <w:lang w:val="fr-FR"/>
        </w:rPr>
        <w:t xml:space="preserve">la </w:t>
      </w:r>
      <w:r w:rsidR="00EE075B">
        <w:rPr>
          <w:lang w:val="fr-FR"/>
        </w:rPr>
        <w:t xml:space="preserve">lanterne des populations et les partenaires des programmes de développement qui accompagnent la mise en œuvre de la vision Guinée 2040 et des agendas internationaux.   </w:t>
      </w:r>
    </w:p>
    <w:p w:rsidR="00EE075B" w:rsidRPr="00EE075B" w:rsidRDefault="00084AAE" w:rsidP="00EE075B">
      <w:pPr>
        <w:spacing w:before="240" w:after="80" w:line="276" w:lineRule="auto"/>
        <w:jc w:val="both"/>
        <w:rPr>
          <w:lang w:val="fr-FR"/>
        </w:rPr>
      </w:pPr>
      <w:r>
        <w:rPr>
          <w:lang w:val="fr-FR"/>
        </w:rPr>
        <w:t xml:space="preserve">Ainsi, </w:t>
      </w:r>
      <w:r w:rsidR="001C7973" w:rsidRPr="00EE075B">
        <w:rPr>
          <w:lang w:val="fr-FR"/>
        </w:rPr>
        <w:t>nous avons besoin d'un personnel doté de principes et d'éthique, qui incarne ces normes et standards internationaux, et qui les défendra avec co</w:t>
      </w:r>
      <w:r>
        <w:rPr>
          <w:lang w:val="fr-FR"/>
        </w:rPr>
        <w:t>urage et avec pleine conviction.</w:t>
      </w:r>
    </w:p>
    <w:p w:rsidR="00EE075B" w:rsidRDefault="00EE075B" w:rsidP="00EE075B">
      <w:pPr>
        <w:spacing w:before="240" w:after="240"/>
        <w:jc w:val="both"/>
        <w:rPr>
          <w:lang w:val="fr-FR"/>
        </w:rPr>
      </w:pPr>
      <w:r w:rsidRPr="00EE075B">
        <w:rPr>
          <w:lang w:val="fr-FR"/>
        </w:rPr>
        <w:t>L'UNFPA recherche des candidats qui transforment, inspire</w:t>
      </w:r>
      <w:r w:rsidR="00084AAE">
        <w:rPr>
          <w:lang w:val="fr-FR"/>
        </w:rPr>
        <w:t xml:space="preserve">nt et produisent des résultats </w:t>
      </w:r>
      <w:r w:rsidRPr="00EE075B">
        <w:rPr>
          <w:lang w:val="fr-FR"/>
        </w:rPr>
        <w:t>durables et à fort impact ; nous avons besoin d'un personnel transparent, exceptionnel dans la façon dont il gère les ressources qui lui sont confiées et qui s'engage à fournir l'excellence dans les résultats des programmes.</w:t>
      </w:r>
    </w:p>
    <w:p w:rsidR="00084AAE" w:rsidRDefault="00084AAE" w:rsidP="00EE075B">
      <w:pPr>
        <w:spacing w:before="240" w:after="240"/>
        <w:jc w:val="both"/>
        <w:rPr>
          <w:lang w:val="fr-FR"/>
        </w:rPr>
      </w:pPr>
    </w:p>
    <w:p w:rsidR="00084AAE" w:rsidRDefault="00084AAE" w:rsidP="00EE075B">
      <w:pPr>
        <w:spacing w:before="240" w:after="240"/>
        <w:jc w:val="both"/>
        <w:rPr>
          <w:lang w:val="fr-FR"/>
        </w:rPr>
      </w:pPr>
    </w:p>
    <w:p w:rsidR="00084AAE" w:rsidRPr="00EE075B" w:rsidRDefault="00084AAE" w:rsidP="00EE075B">
      <w:pPr>
        <w:spacing w:before="240" w:after="240"/>
        <w:jc w:val="both"/>
        <w:rPr>
          <w:lang w:val="fr-FR"/>
        </w:rPr>
      </w:pPr>
    </w:p>
    <w:p w:rsidR="001C7973" w:rsidRDefault="00516233" w:rsidP="001C7973">
      <w:pPr>
        <w:spacing w:before="240" w:after="240"/>
        <w:rPr>
          <w:rFonts w:ascii="Calibri" w:eastAsia="Calibri" w:hAnsi="Calibri" w:cs="Calibri"/>
          <w:b/>
          <w:color w:val="244061"/>
          <w:lang w:val="fr-FR"/>
        </w:rPr>
      </w:pPr>
      <w:r>
        <w:rPr>
          <w:rFonts w:ascii="Calibri" w:eastAsia="Calibri" w:hAnsi="Calibri" w:cs="Calibri"/>
          <w:b/>
          <w:color w:val="244061"/>
          <w:lang w:val="fr-FR"/>
        </w:rPr>
        <w:t>Description du poste</w:t>
      </w:r>
      <w:r w:rsidR="00BE7EDF">
        <w:rPr>
          <w:rFonts w:ascii="Calibri" w:eastAsia="Calibri" w:hAnsi="Calibri" w:cs="Calibri"/>
          <w:b/>
          <w:color w:val="244061"/>
          <w:lang w:val="fr-FR"/>
        </w:rPr>
        <w:t> :</w:t>
      </w:r>
    </w:p>
    <w:p w:rsidR="007836A7" w:rsidRPr="001C7973" w:rsidRDefault="00EF6638" w:rsidP="00D91A43">
      <w:pPr>
        <w:spacing w:before="240" w:after="240"/>
        <w:jc w:val="both"/>
        <w:rPr>
          <w:rFonts w:ascii="Calibri" w:eastAsia="Calibri" w:hAnsi="Calibri" w:cs="Calibri"/>
          <w:b/>
          <w:color w:val="244061"/>
          <w:lang w:val="fr-FR"/>
        </w:rPr>
      </w:pPr>
      <w:r w:rsidRPr="00EF6638">
        <w:rPr>
          <w:lang w:val="fr-FR"/>
        </w:rPr>
        <w:t>Après que la 55e session de la Commission de la population et du développement (CPD) ait lancé le processus de la CIPD30 en 2022, l'UNFPA s'est lancé dans la marche vers la CIPD30. Bien que la CIPD30 ne remplace pas le Programme d’Actions (PA) de la CIPD de 1994, elle visera à atteindre trois objectifs clés : célébrer 30 ans de réalisations de la CIPD ; aborder la polarisation autour des questions clés de la CIPD et enfin, positionner notre programme au-delà de 2030 et dans l'avenir</w:t>
      </w:r>
      <w:r w:rsidR="001C7973" w:rsidRPr="001C7973">
        <w:rPr>
          <w:vertAlign w:val="superscript"/>
          <w:lang w:val="fr-FR"/>
        </w:rPr>
        <w:t>1</w:t>
      </w:r>
      <w:r w:rsidR="001C7973" w:rsidRPr="00EF6638">
        <w:rPr>
          <w:lang w:val="fr-FR"/>
        </w:rPr>
        <w:t>.</w:t>
      </w:r>
      <w:r w:rsidRPr="00EF6638">
        <w:rPr>
          <w:lang w:val="fr-FR"/>
        </w:rPr>
        <w:t xml:space="preserve"> A cet effet, la CIPD </w:t>
      </w:r>
      <w:r w:rsidR="00120D81">
        <w:rPr>
          <w:lang w:val="fr-FR"/>
        </w:rPr>
        <w:t xml:space="preserve">+ </w:t>
      </w:r>
      <w:r w:rsidRPr="00EF6638">
        <w:rPr>
          <w:lang w:val="fr-FR"/>
        </w:rPr>
        <w:t>30 vise à produire un compte rendu faisant autorité sur le plan technique de l'état de la mise en œuvre de l'Agenda de la CIPD, y compris l'identification et la résolution des défis et opportunités émergents pour accélérer la mise en œuvre au-delà de 2024. Comme les revues précédentes, la CIPD</w:t>
      </w:r>
      <w:r w:rsidR="00120D81">
        <w:rPr>
          <w:lang w:val="fr-FR"/>
        </w:rPr>
        <w:t>+</w:t>
      </w:r>
      <w:r w:rsidRPr="00EF6638">
        <w:rPr>
          <w:lang w:val="fr-FR"/>
        </w:rPr>
        <w:t xml:space="preserve">30 célébrera les réalisations, mais aussi préparera le terrain pour que les gouvernements et les parties prenantes se réengagent et se concentrent sur l'avenir. L'UNFPA produira une synthèse/un tableau de bord rassemblant les preuves issues des enquêtes et/ou rapports nationaux, des conférences régionales et des dialogues et événements mondiaux. La compilation de la vision globale de la revue s'appuiera sur les consultations nationales et les conférences régionales. Les consultations et dialogues nationales permettront en autres de : (i) renforcer l'appropriation et élargir les alliances avec les parties prenantes au niveau national pour s'assurer que le programme de la CIPD fait partie intégrante du programme de développement plus large au-delà de 2030 ; (ii) apprécier la diversité des besoins des différents groupes de population, y compris les différences de genre, ethniques, socio-économiques ou géographiques ; (iii) aider les gouvernements à accroître la transparence, la compréhension du public et la participation des citoyens à la prise de décision concernant la politique de la CIPD. Afin de permettre un bon déroulement de la consultation et du dialogue en République de Guinée, l’UNFPA en collaboration avec la Commission Nationale en Population et Développement Durable, se propose de recruter un consultant national. </w:t>
      </w:r>
    </w:p>
    <w:p w:rsidR="000B5199" w:rsidRPr="00D91A43" w:rsidRDefault="00D91A43" w:rsidP="007836A7">
      <w:pPr>
        <w:spacing w:before="240" w:after="240"/>
        <w:jc w:val="both"/>
        <w:rPr>
          <w:rFonts w:ascii="Calibri" w:eastAsia="Calibri" w:hAnsi="Calibri" w:cs="Calibri"/>
          <w:b/>
          <w:color w:val="244061"/>
          <w:lang w:val="fr-FR"/>
        </w:rPr>
      </w:pPr>
      <w:r w:rsidRPr="00D91A43">
        <w:rPr>
          <w:rFonts w:ascii="Calibri" w:eastAsia="Calibri" w:hAnsi="Calibri" w:cs="Calibri"/>
          <w:b/>
          <w:color w:val="244061"/>
          <w:lang w:val="fr-FR"/>
        </w:rPr>
        <w:t>Vous serez responsa</w:t>
      </w:r>
      <w:r w:rsidR="00956747" w:rsidRPr="00D91A43">
        <w:rPr>
          <w:rFonts w:ascii="Calibri" w:eastAsia="Calibri" w:hAnsi="Calibri" w:cs="Calibri"/>
          <w:b/>
          <w:color w:val="244061"/>
          <w:lang w:val="fr-FR"/>
        </w:rPr>
        <w:t>ble de :</w:t>
      </w:r>
    </w:p>
    <w:p w:rsidR="0021685A" w:rsidRPr="001C7973" w:rsidRDefault="00D91A43" w:rsidP="0021685A">
      <w:pPr>
        <w:spacing w:before="240" w:after="80"/>
        <w:rPr>
          <w:lang w:val="fr-FR"/>
        </w:rPr>
      </w:pPr>
      <w:r>
        <w:rPr>
          <w:lang w:val="fr-FR"/>
        </w:rPr>
        <w:t>Il/elle est chargé (e</w:t>
      </w:r>
      <w:r w:rsidR="0021685A" w:rsidRPr="001C7973">
        <w:rPr>
          <w:lang w:val="fr-FR"/>
        </w:rPr>
        <w:t>) de réaliser les tâches suivantes :</w:t>
      </w:r>
    </w:p>
    <w:p w:rsidR="007836A7" w:rsidRDefault="007836A7" w:rsidP="007836A7">
      <w:pPr>
        <w:spacing w:before="240" w:after="240"/>
        <w:jc w:val="both"/>
        <w:rPr>
          <w:lang w:val="fr-FR"/>
        </w:rPr>
      </w:pPr>
      <w:r>
        <w:rPr>
          <w:lang w:val="fr-FR"/>
        </w:rPr>
        <w:t>1.</w:t>
      </w:r>
      <w:r w:rsidRPr="007836A7">
        <w:rPr>
          <w:lang w:val="fr-FR"/>
        </w:rPr>
        <w:t xml:space="preserve">Effectuer des recherches documentaires sur les politiques, programmes et stratégies pertinents, compiler des données en réponse aux indicateurs identifiés, vérifier les données avec les bureaux nationaux de statistique, analyser et rédiger le rapport conformément aux directives fournies en annexe. </w:t>
      </w:r>
    </w:p>
    <w:p w:rsidR="007836A7" w:rsidRDefault="007836A7" w:rsidP="007836A7">
      <w:pPr>
        <w:spacing w:before="240" w:after="240"/>
        <w:jc w:val="both"/>
        <w:rPr>
          <w:lang w:val="fr-FR"/>
        </w:rPr>
      </w:pPr>
      <w:r w:rsidRPr="007836A7">
        <w:rPr>
          <w:lang w:val="fr-FR"/>
        </w:rPr>
        <w:t xml:space="preserve">2. Produire une première ébauche du rapport national, en s’appuyant sur un ensemble prédéterminé d’indicateurs qui recoupent les 13 engagements pays tenus au Sommet de Nairobi en 2019 avec un accent particulier sur la réalisation du dividende démographique et la réponse aux besoins des groupes de population laissés pour compte depuis la CIPD en 1994. </w:t>
      </w:r>
    </w:p>
    <w:p w:rsidR="007836A7" w:rsidRDefault="007836A7" w:rsidP="007836A7">
      <w:pPr>
        <w:spacing w:before="240" w:after="240"/>
        <w:jc w:val="both"/>
        <w:rPr>
          <w:lang w:val="fr-FR"/>
        </w:rPr>
      </w:pPr>
      <w:r w:rsidRPr="007836A7">
        <w:rPr>
          <w:lang w:val="fr-FR"/>
        </w:rPr>
        <w:t xml:space="preserve">3. Combler les lacunes et relever les défis critiques dans le domaine de la population et du développement qui entravent la réalisation du dividende démographique en République de Guinée, notamment: la situation des femmes et des jeunes, les défis persistants tels que la violence et la discrimination sexistes, le mariage des enfants, la fécondité des adolescentes, les mutilations génitales féminines, entre autres; Le consultant identifiera les changements politiques et programmatiques pertinents dans ces domaines. </w:t>
      </w:r>
    </w:p>
    <w:p w:rsidR="007836A7" w:rsidRDefault="007836A7" w:rsidP="007836A7">
      <w:pPr>
        <w:spacing w:before="240" w:after="240"/>
        <w:jc w:val="both"/>
        <w:rPr>
          <w:lang w:val="fr-FR"/>
        </w:rPr>
      </w:pPr>
      <w:r w:rsidRPr="007836A7">
        <w:rPr>
          <w:lang w:val="fr-FR"/>
        </w:rPr>
        <w:lastRenderedPageBreak/>
        <w:t xml:space="preserve">4. Soutenir l’exercice de validation dirigé par le gouvernement en présentant le projet de rapport et les conclusions et en sollicitant les commentaires des parties prenantes et des partenaires multisectoriels, y compris la société civile, les universités, le secteur privé, les partenaires des Nations Unies et d’autres institutions, et avec les conseils et le soutien du Bureau pays de l’UNFPA, intégrer les commentaires pertinents et finaliser le rapport d’examen national. </w:t>
      </w:r>
    </w:p>
    <w:p w:rsidR="00266CFC" w:rsidRDefault="00266CFC" w:rsidP="007836A7">
      <w:pPr>
        <w:spacing w:before="240" w:after="240"/>
        <w:jc w:val="both"/>
        <w:rPr>
          <w:lang w:val="fr-FR"/>
        </w:rPr>
      </w:pPr>
      <w:r>
        <w:rPr>
          <w:lang w:val="fr-FR"/>
        </w:rPr>
        <w:t xml:space="preserve">5. Toutes autres tâches que le Directeur National de la Population et Développement juge de lui </w:t>
      </w:r>
      <w:r w:rsidR="001C7973">
        <w:rPr>
          <w:lang w:val="fr-FR"/>
        </w:rPr>
        <w:t>confier</w:t>
      </w:r>
      <w:r>
        <w:rPr>
          <w:lang w:val="fr-FR"/>
        </w:rPr>
        <w:t>.</w:t>
      </w:r>
    </w:p>
    <w:p w:rsidR="000B5199" w:rsidRDefault="00080EC4" w:rsidP="006A5478">
      <w:pPr>
        <w:spacing w:before="240" w:after="240"/>
        <w:rPr>
          <w:rFonts w:ascii="Calibri" w:eastAsia="Calibri" w:hAnsi="Calibri" w:cs="Calibri"/>
          <w:b/>
          <w:color w:val="244061"/>
          <w:lang w:val="fr-FR"/>
        </w:rPr>
      </w:pPr>
      <w:r w:rsidRPr="007836A7">
        <w:rPr>
          <w:rFonts w:ascii="Calibri" w:eastAsia="Calibri" w:hAnsi="Calibri" w:cs="Calibri"/>
          <w:b/>
          <w:color w:val="244061"/>
          <w:lang w:val="fr-FR"/>
        </w:rPr>
        <w:t xml:space="preserve">A. </w:t>
      </w:r>
      <w:r w:rsidR="00956747">
        <w:rPr>
          <w:rFonts w:ascii="Calibri" w:eastAsia="Calibri" w:hAnsi="Calibri" w:cs="Calibri"/>
          <w:b/>
          <w:color w:val="244061"/>
          <w:lang w:val="fr-FR"/>
        </w:rPr>
        <w:t>Résultat</w:t>
      </w:r>
      <w:r w:rsidR="00D91A43">
        <w:rPr>
          <w:rFonts w:ascii="Calibri" w:eastAsia="Calibri" w:hAnsi="Calibri" w:cs="Calibri"/>
          <w:b/>
          <w:color w:val="244061"/>
          <w:lang w:val="fr-FR"/>
        </w:rPr>
        <w:t>s</w:t>
      </w:r>
      <w:r w:rsidR="00956747">
        <w:rPr>
          <w:rFonts w:ascii="Calibri" w:eastAsia="Calibri" w:hAnsi="Calibri" w:cs="Calibri"/>
          <w:b/>
          <w:color w:val="244061"/>
          <w:lang w:val="fr-FR"/>
        </w:rPr>
        <w:t xml:space="preserve"> Clé</w:t>
      </w:r>
      <w:r w:rsidR="00D91A43">
        <w:rPr>
          <w:rFonts w:ascii="Calibri" w:eastAsia="Calibri" w:hAnsi="Calibri" w:cs="Calibri"/>
          <w:b/>
          <w:color w:val="244061"/>
          <w:lang w:val="fr-FR"/>
        </w:rPr>
        <w:t>s</w:t>
      </w:r>
    </w:p>
    <w:p w:rsidR="001C7973" w:rsidRDefault="001C7973" w:rsidP="00120D81">
      <w:pPr>
        <w:spacing w:before="240" w:after="240"/>
        <w:jc w:val="both"/>
        <w:rPr>
          <w:lang w:val="fr-FR"/>
        </w:rPr>
      </w:pPr>
      <w:r>
        <w:rPr>
          <w:lang w:val="fr-FR"/>
        </w:rPr>
        <w:t>La consultance permettra une meilleure connaissance du niveau de mise en œuvre des engagements pays de la CIPD notamment de la CIPD+25 ;</w:t>
      </w:r>
    </w:p>
    <w:p w:rsidR="001C7973" w:rsidRDefault="001C7973" w:rsidP="00120D81">
      <w:pPr>
        <w:spacing w:before="240" w:after="240"/>
        <w:jc w:val="both"/>
        <w:rPr>
          <w:lang w:val="fr-FR"/>
        </w:rPr>
      </w:pPr>
      <w:r>
        <w:rPr>
          <w:lang w:val="fr-FR"/>
        </w:rPr>
        <w:t>Les compétences techniques du comité technique experts nationaux en population et développement, organe technique de la Commission nationale de Population et de développement renforcées ;</w:t>
      </w:r>
    </w:p>
    <w:p w:rsidR="00266CFC" w:rsidRDefault="001C7973" w:rsidP="00120D81">
      <w:pPr>
        <w:spacing w:before="240" w:after="240"/>
        <w:jc w:val="both"/>
        <w:rPr>
          <w:lang w:val="fr-FR"/>
        </w:rPr>
      </w:pPr>
      <w:r>
        <w:rPr>
          <w:lang w:val="fr-FR"/>
        </w:rPr>
        <w:t xml:space="preserve">La vulgarisation des engagements pays de la CIPD est étendue de plus auprès des décideurs, des acteurs de la société civile notamment les réseaux en population et développement, et des bureaux de stratégies et de développement.  </w:t>
      </w:r>
      <w:r w:rsidR="00266CFC" w:rsidRPr="00266CFC">
        <w:rPr>
          <w:lang w:val="fr-FR"/>
        </w:rPr>
        <w:t xml:space="preserve"> </w:t>
      </w:r>
    </w:p>
    <w:p w:rsidR="0021685A" w:rsidRPr="001C7973" w:rsidRDefault="0021685A" w:rsidP="0021685A">
      <w:pPr>
        <w:jc w:val="both"/>
        <w:rPr>
          <w:lang w:val="fr-FR"/>
        </w:rPr>
      </w:pPr>
      <w:r w:rsidRPr="00EF6638">
        <w:rPr>
          <w:rFonts w:ascii="Calibri" w:eastAsia="Calibri" w:hAnsi="Calibri" w:cs="Calibri"/>
          <w:b/>
          <w:color w:val="244061"/>
          <w:lang w:val="fr-FR"/>
        </w:rPr>
        <w:t>Résultat final de la consultation</w:t>
      </w:r>
      <w:r>
        <w:rPr>
          <w:b/>
          <w:bCs/>
          <w:lang w:val="fr-FR"/>
        </w:rPr>
        <w:t xml:space="preserve"> : </w:t>
      </w:r>
      <w:r w:rsidR="00266CFC" w:rsidRPr="001C7973">
        <w:rPr>
          <w:lang w:val="fr-FR"/>
        </w:rPr>
        <w:t>Un rapport pays de suivi des engagements de la CIPD+30 validé est disponible</w:t>
      </w:r>
      <w:r w:rsidRPr="001C7973">
        <w:rPr>
          <w:lang w:val="fr-FR"/>
        </w:rPr>
        <w:t>.</w:t>
      </w:r>
    </w:p>
    <w:p w:rsidR="0021685A" w:rsidRPr="00E8769B" w:rsidRDefault="0021685A" w:rsidP="0021685A">
      <w:pPr>
        <w:jc w:val="both"/>
        <w:rPr>
          <w:lang w:val="fr-FR"/>
        </w:rPr>
      </w:pPr>
    </w:p>
    <w:p w:rsidR="0021685A" w:rsidRPr="007836A7" w:rsidRDefault="0021685A" w:rsidP="0021685A">
      <w:pPr>
        <w:jc w:val="both"/>
        <w:rPr>
          <w:rFonts w:ascii="Calibri" w:eastAsia="Calibri" w:hAnsi="Calibri" w:cs="Calibri"/>
          <w:b/>
          <w:color w:val="244061"/>
          <w:lang w:val="fr-FR"/>
        </w:rPr>
      </w:pPr>
      <w:r w:rsidRPr="007836A7">
        <w:rPr>
          <w:rFonts w:ascii="Calibri" w:eastAsia="Calibri" w:hAnsi="Calibri" w:cs="Calibri"/>
          <w:b/>
          <w:color w:val="244061"/>
          <w:lang w:val="fr-FR"/>
        </w:rPr>
        <w:t>Les produits ou extrants</w:t>
      </w:r>
    </w:p>
    <w:p w:rsidR="007836A7" w:rsidRDefault="007836A7" w:rsidP="0021685A">
      <w:pPr>
        <w:spacing w:before="240" w:after="240"/>
        <w:jc w:val="both"/>
        <w:rPr>
          <w:lang w:val="fr-FR"/>
        </w:rPr>
      </w:pPr>
      <w:r>
        <w:rPr>
          <w:lang w:val="fr-FR"/>
        </w:rPr>
        <w:t xml:space="preserve">1. </w:t>
      </w:r>
      <w:r w:rsidRPr="007836A7">
        <w:rPr>
          <w:lang w:val="fr-FR"/>
        </w:rPr>
        <w:t xml:space="preserve">Première ébauche du rapport de national de la CIPD 30 d’ici le 15 avril 2023. </w:t>
      </w:r>
    </w:p>
    <w:p w:rsidR="007836A7" w:rsidRDefault="007836A7" w:rsidP="0021685A">
      <w:pPr>
        <w:spacing w:before="240" w:after="240"/>
        <w:jc w:val="both"/>
        <w:rPr>
          <w:lang w:val="fr-FR"/>
        </w:rPr>
      </w:pPr>
      <w:r w:rsidRPr="007836A7">
        <w:rPr>
          <w:lang w:val="fr-FR"/>
        </w:rPr>
        <w:t>2. Participation et présentation à l’exercice national de validation</w:t>
      </w:r>
      <w:r w:rsidR="00266CFC">
        <w:rPr>
          <w:lang w:val="fr-FR"/>
        </w:rPr>
        <w:t>.</w:t>
      </w:r>
      <w:r w:rsidRPr="007836A7">
        <w:rPr>
          <w:lang w:val="fr-FR"/>
        </w:rPr>
        <w:t xml:space="preserve"> </w:t>
      </w:r>
    </w:p>
    <w:p w:rsidR="000B5199" w:rsidRPr="001C7973" w:rsidRDefault="007836A7" w:rsidP="0021685A">
      <w:pPr>
        <w:spacing w:before="240" w:after="240"/>
        <w:jc w:val="both"/>
        <w:rPr>
          <w:lang w:val="fr-FR"/>
        </w:rPr>
      </w:pPr>
      <w:r w:rsidRPr="007836A7">
        <w:rPr>
          <w:lang w:val="fr-FR"/>
        </w:rPr>
        <w:t xml:space="preserve">3. Livraison finale </w:t>
      </w:r>
      <w:r>
        <w:rPr>
          <w:lang w:val="fr-FR"/>
        </w:rPr>
        <w:t>du r</w:t>
      </w:r>
      <w:r w:rsidRPr="007836A7">
        <w:rPr>
          <w:lang w:val="fr-FR"/>
        </w:rPr>
        <w:t xml:space="preserve">apport d’examen national de la CIPD </w:t>
      </w:r>
      <w:r w:rsidR="00120D81">
        <w:rPr>
          <w:lang w:val="fr-FR"/>
        </w:rPr>
        <w:t xml:space="preserve">+ </w:t>
      </w:r>
      <w:r w:rsidRPr="007836A7">
        <w:rPr>
          <w:lang w:val="fr-FR"/>
        </w:rPr>
        <w:t>30 d’ici le 29 avril 2023</w:t>
      </w:r>
      <w:r w:rsidR="0021685A" w:rsidRPr="001C7973">
        <w:rPr>
          <w:lang w:val="fr-FR"/>
        </w:rPr>
        <w:t>.</w:t>
      </w:r>
      <w:r w:rsidR="00080EC4" w:rsidRPr="001C7973">
        <w:rPr>
          <w:lang w:val="fr-FR"/>
        </w:rPr>
        <w:t xml:space="preserve"> </w:t>
      </w:r>
    </w:p>
    <w:p w:rsidR="000B5199" w:rsidRPr="006A5478" w:rsidRDefault="00080EC4" w:rsidP="006A5478">
      <w:pPr>
        <w:jc w:val="both"/>
        <w:rPr>
          <w:rFonts w:ascii="Calibri" w:eastAsia="Calibri" w:hAnsi="Calibri" w:cs="Calibri"/>
          <w:b/>
          <w:color w:val="244061"/>
          <w:lang w:val="fr-FR"/>
        </w:rPr>
      </w:pPr>
      <w:r w:rsidRPr="006A5478">
        <w:rPr>
          <w:rFonts w:ascii="Calibri" w:eastAsia="Calibri" w:hAnsi="Calibri" w:cs="Calibri"/>
          <w:b/>
          <w:color w:val="244061"/>
          <w:lang w:val="fr-FR"/>
        </w:rPr>
        <w:t xml:space="preserve">Qualifications </w:t>
      </w:r>
      <w:r w:rsidR="00D72599">
        <w:rPr>
          <w:rFonts w:ascii="Calibri" w:eastAsia="Calibri" w:hAnsi="Calibri" w:cs="Calibri"/>
          <w:b/>
          <w:color w:val="244061"/>
          <w:lang w:val="fr-FR"/>
        </w:rPr>
        <w:t xml:space="preserve">et </w:t>
      </w:r>
      <w:r w:rsidR="005816FE">
        <w:rPr>
          <w:rFonts w:ascii="Calibri" w:eastAsia="Calibri" w:hAnsi="Calibri" w:cs="Calibri"/>
          <w:b/>
          <w:color w:val="244061"/>
          <w:lang w:val="fr-FR"/>
        </w:rPr>
        <w:t>Expériences</w:t>
      </w:r>
    </w:p>
    <w:p w:rsidR="007836A7" w:rsidRDefault="00080EC4" w:rsidP="007836A7">
      <w:pPr>
        <w:spacing w:before="240" w:after="240"/>
        <w:jc w:val="both"/>
        <w:rPr>
          <w:lang w:val="fr-FR"/>
        </w:rPr>
      </w:pPr>
      <w:r w:rsidRPr="007836A7">
        <w:rPr>
          <w:rFonts w:ascii="Calibri" w:eastAsia="Calibri" w:hAnsi="Calibri" w:cs="Calibri"/>
          <w:b/>
          <w:lang w:val="fr-FR"/>
        </w:rPr>
        <w:t xml:space="preserve"> </w:t>
      </w:r>
      <w:r w:rsidR="007836A7" w:rsidRPr="007836A7">
        <w:rPr>
          <w:b/>
          <w:lang w:val="fr-FR"/>
        </w:rPr>
        <w:t>Éducation</w:t>
      </w:r>
      <w:r w:rsidR="007836A7">
        <w:rPr>
          <w:lang w:val="fr-FR"/>
        </w:rPr>
        <w:t xml:space="preserve"> : </w:t>
      </w:r>
      <w:r w:rsidR="007836A7" w:rsidRPr="007836A7">
        <w:rPr>
          <w:lang w:val="fr-FR"/>
        </w:rPr>
        <w:t xml:space="preserve">Le candidat doit être un expert reconnu en matière de population et de développement, doté de solides compétences en matière de recherche et de rédaction, de conception et d’analyse et d’une connaissance approfondie de la Conférence internationale sur la population et le développement, y compris l’examen </w:t>
      </w:r>
      <w:r w:rsidR="00E40542">
        <w:rPr>
          <w:lang w:val="fr-FR"/>
        </w:rPr>
        <w:t xml:space="preserve">des </w:t>
      </w:r>
      <w:r w:rsidR="007836A7" w:rsidRPr="007836A7">
        <w:rPr>
          <w:lang w:val="fr-FR"/>
        </w:rPr>
        <w:t xml:space="preserve">20 ans et ses résultats continentaux en Afrique (AADPD). Les candidats doivent avoir un diplôme d’études supérieures / supérieures en sciences sociales, en santé publique, en démographie ou dans des domaines connexes et une expérience de recherche connexe. Une formation en études de genre, en SSR et en droits reproductifs est fortement recommandée. </w:t>
      </w:r>
    </w:p>
    <w:p w:rsidR="007836A7" w:rsidRDefault="007836A7" w:rsidP="007836A7">
      <w:pPr>
        <w:spacing w:before="240" w:after="240"/>
        <w:jc w:val="both"/>
      </w:pPr>
      <w:r w:rsidRPr="007836A7">
        <w:rPr>
          <w:b/>
          <w:lang w:val="fr-FR"/>
        </w:rPr>
        <w:t>Expérience professionnelle</w:t>
      </w:r>
      <w:r w:rsidRPr="007836A7">
        <w:rPr>
          <w:lang w:val="fr-FR"/>
        </w:rPr>
        <w:t xml:space="preserve"> </w:t>
      </w:r>
    </w:p>
    <w:p w:rsidR="00F41852" w:rsidRPr="00266CFC" w:rsidRDefault="007836A7" w:rsidP="00266CFC">
      <w:pPr>
        <w:pStyle w:val="ListParagraph"/>
        <w:numPr>
          <w:ilvl w:val="0"/>
          <w:numId w:val="7"/>
        </w:numPr>
        <w:spacing w:before="240" w:after="240"/>
        <w:ind w:left="851" w:hanging="425"/>
        <w:jc w:val="both"/>
        <w:rPr>
          <w:rFonts w:ascii="Times New Roman" w:eastAsia="Times New Roman" w:hAnsi="Times New Roman" w:cs="Times New Roman"/>
          <w:color w:val="auto"/>
          <w:sz w:val="24"/>
          <w:szCs w:val="24"/>
          <w:lang w:val="fr-FR" w:eastAsia="en-US"/>
        </w:rPr>
      </w:pPr>
      <w:r w:rsidRPr="00266CFC">
        <w:rPr>
          <w:rFonts w:ascii="Times New Roman" w:eastAsia="Times New Roman" w:hAnsi="Times New Roman" w:cs="Times New Roman"/>
          <w:color w:val="auto"/>
          <w:sz w:val="24"/>
          <w:szCs w:val="24"/>
          <w:lang w:val="fr-FR" w:eastAsia="en-US"/>
        </w:rPr>
        <w:t xml:space="preserve">5 ans ou plus d’expérience avérée dans le suivi et l’évaluation, la rédaction de rapports, l’analyse de données qualitatives et quantitatives et la recherche sur la population et le développement sont essentielles. </w:t>
      </w:r>
    </w:p>
    <w:p w:rsidR="00F41852" w:rsidRPr="00266CFC" w:rsidRDefault="007836A7" w:rsidP="00266CFC">
      <w:pPr>
        <w:pStyle w:val="ListParagraph"/>
        <w:numPr>
          <w:ilvl w:val="0"/>
          <w:numId w:val="7"/>
        </w:numPr>
        <w:spacing w:before="240" w:after="240"/>
        <w:ind w:left="851" w:hanging="425"/>
        <w:jc w:val="both"/>
        <w:rPr>
          <w:rFonts w:ascii="Times New Roman" w:eastAsia="Times New Roman" w:hAnsi="Times New Roman" w:cs="Times New Roman"/>
          <w:color w:val="auto"/>
          <w:sz w:val="24"/>
          <w:szCs w:val="24"/>
          <w:lang w:val="fr-FR" w:eastAsia="en-US"/>
        </w:rPr>
      </w:pPr>
      <w:r w:rsidRPr="00266CFC">
        <w:rPr>
          <w:rFonts w:ascii="Times New Roman" w:eastAsia="Times New Roman" w:hAnsi="Times New Roman" w:cs="Times New Roman"/>
          <w:color w:val="auto"/>
          <w:sz w:val="24"/>
          <w:szCs w:val="24"/>
          <w:lang w:val="fr-FR" w:eastAsia="en-US"/>
        </w:rPr>
        <w:lastRenderedPageBreak/>
        <w:t xml:space="preserve">Une bonne connaissance de la CIPD et des résultats des conférences d’examen est un avantage supplémentaire, en particulier le processus d’examen de la CIPD au-delà de 2014. </w:t>
      </w:r>
    </w:p>
    <w:p w:rsidR="00F41852" w:rsidRPr="00266CFC" w:rsidRDefault="007836A7" w:rsidP="00266CFC">
      <w:pPr>
        <w:pStyle w:val="ListParagraph"/>
        <w:numPr>
          <w:ilvl w:val="0"/>
          <w:numId w:val="7"/>
        </w:numPr>
        <w:spacing w:before="240" w:after="240"/>
        <w:ind w:left="851" w:hanging="425"/>
        <w:jc w:val="both"/>
        <w:rPr>
          <w:rFonts w:ascii="Times New Roman" w:eastAsia="Times New Roman" w:hAnsi="Times New Roman" w:cs="Times New Roman"/>
          <w:color w:val="auto"/>
          <w:sz w:val="24"/>
          <w:szCs w:val="24"/>
          <w:lang w:val="fr-FR" w:eastAsia="en-US"/>
        </w:rPr>
      </w:pPr>
      <w:r w:rsidRPr="00266CFC">
        <w:rPr>
          <w:rFonts w:ascii="Times New Roman" w:eastAsia="Times New Roman" w:hAnsi="Times New Roman" w:cs="Times New Roman"/>
          <w:color w:val="auto"/>
          <w:sz w:val="24"/>
          <w:szCs w:val="24"/>
          <w:lang w:val="fr-FR" w:eastAsia="en-US"/>
        </w:rPr>
        <w:t xml:space="preserve">Revues à comité de lecture, publications des Nations Unies. </w:t>
      </w:r>
    </w:p>
    <w:p w:rsidR="00F41852" w:rsidRDefault="007836A7" w:rsidP="00F41852">
      <w:pPr>
        <w:spacing w:before="240" w:after="240"/>
        <w:jc w:val="both"/>
        <w:rPr>
          <w:lang w:val="fr-FR"/>
        </w:rPr>
      </w:pPr>
      <w:r w:rsidRPr="00F41852">
        <w:rPr>
          <w:b/>
          <w:lang w:val="fr-FR"/>
        </w:rPr>
        <w:t>Compétences :</w:t>
      </w:r>
      <w:r w:rsidRPr="00F41852">
        <w:rPr>
          <w:lang w:val="fr-FR"/>
        </w:rPr>
        <w:t xml:space="preserve"> </w:t>
      </w:r>
    </w:p>
    <w:p w:rsidR="00520CF2" w:rsidRDefault="007836A7" w:rsidP="00F41852">
      <w:pPr>
        <w:spacing w:before="240" w:after="240"/>
        <w:ind w:firstLine="720"/>
        <w:jc w:val="both"/>
        <w:rPr>
          <w:lang w:val="fr-FR"/>
        </w:rPr>
      </w:pPr>
      <w:r w:rsidRPr="00F41852">
        <w:rPr>
          <w:b/>
          <w:i/>
          <w:lang w:val="fr-FR"/>
        </w:rPr>
        <w:t>Professionnalisme</w:t>
      </w:r>
      <w:r w:rsidRPr="00F41852">
        <w:rPr>
          <w:lang w:val="fr-FR"/>
        </w:rPr>
        <w:t xml:space="preserve"> : Compétences analytiques, de recherche et de rédaction dans les domaines de la population, de la santé de la reproduction et des droits </w:t>
      </w:r>
      <w:r w:rsidR="00F41852" w:rsidRPr="00F41852">
        <w:rPr>
          <w:lang w:val="fr-FR"/>
        </w:rPr>
        <w:t>sexuels.</w:t>
      </w:r>
      <w:r w:rsidRPr="00F41852">
        <w:rPr>
          <w:lang w:val="fr-FR"/>
        </w:rPr>
        <w:t xml:space="preserve"> Expertise en matière de valorisation et d’évaluation électronique, connaissance et compréhension des théories et concepts liés aux sciences sociales, à la santé publique, à la SSR, à la démographie, au dividende démographique et aux questions de développement intégré telles qu’elles s’appliquent à la population; familiarité avec l’Agenda de la CIPD, la Déclaration d’Addis-Abeba, la feuille de route nationale du dividende démographique, les cadres nationaux pertinents, les questions de développement social et les cadres des droits de l’homme. La fiabilité des données sur la population et le développement, des bases de données pertinentes et des sources de données sur le continent est un avantage particulier. </w:t>
      </w:r>
    </w:p>
    <w:p w:rsidR="00520CF2" w:rsidRDefault="007836A7" w:rsidP="00F41852">
      <w:pPr>
        <w:spacing w:before="240" w:after="240"/>
        <w:ind w:firstLine="720"/>
        <w:jc w:val="both"/>
        <w:rPr>
          <w:lang w:val="fr-FR"/>
        </w:rPr>
      </w:pPr>
      <w:r w:rsidRPr="00520CF2">
        <w:rPr>
          <w:i/>
          <w:lang w:val="fr-FR"/>
        </w:rPr>
        <w:t>C</w:t>
      </w:r>
      <w:r w:rsidRPr="00520CF2">
        <w:rPr>
          <w:b/>
          <w:i/>
          <w:lang w:val="fr-FR"/>
        </w:rPr>
        <w:t>ommunication</w:t>
      </w:r>
      <w:r w:rsidRPr="00520CF2">
        <w:rPr>
          <w:b/>
          <w:lang w:val="fr-FR"/>
        </w:rPr>
        <w:t xml:space="preserve"> </w:t>
      </w:r>
      <w:r w:rsidRPr="00F41852">
        <w:rPr>
          <w:lang w:val="fr-FR"/>
        </w:rPr>
        <w:t xml:space="preserve">: Excellentes compétences en matière d’analyse et de rédaction, avec la capacité de rédiger/éditer une variété de rapports écrits, et d’incorporer en temps opportun les commentaires et contributions pertinents provenant de sources multiples. </w:t>
      </w:r>
    </w:p>
    <w:p w:rsidR="00520CF2" w:rsidRDefault="007836A7" w:rsidP="00F41852">
      <w:pPr>
        <w:spacing w:before="240" w:after="240"/>
        <w:ind w:firstLine="720"/>
        <w:jc w:val="both"/>
        <w:rPr>
          <w:lang w:val="fr-FR"/>
        </w:rPr>
      </w:pPr>
      <w:r w:rsidRPr="00520CF2">
        <w:rPr>
          <w:b/>
          <w:i/>
          <w:lang w:val="fr-FR"/>
        </w:rPr>
        <w:t>Conscience technologique</w:t>
      </w:r>
      <w:r w:rsidRPr="00F41852">
        <w:rPr>
          <w:lang w:val="fr-FR"/>
        </w:rPr>
        <w:t xml:space="preserve"> : Compétences informatiques et utilisation de logiciels et d’autres applications pertinents, par exemple le traitement de texte et la recherche sur Internet. </w:t>
      </w:r>
    </w:p>
    <w:p w:rsidR="00520CF2" w:rsidRDefault="007836A7" w:rsidP="00520CF2">
      <w:pPr>
        <w:spacing w:before="240" w:after="240"/>
        <w:jc w:val="both"/>
        <w:rPr>
          <w:lang w:val="fr-FR"/>
        </w:rPr>
      </w:pPr>
      <w:r w:rsidRPr="00520CF2">
        <w:rPr>
          <w:b/>
          <w:lang w:val="fr-FR"/>
        </w:rPr>
        <w:t>Travail d’équipe</w:t>
      </w:r>
      <w:r w:rsidR="00520CF2" w:rsidRPr="00520CF2">
        <w:rPr>
          <w:b/>
          <w:lang w:val="fr-FR"/>
        </w:rPr>
        <w:t> </w:t>
      </w:r>
      <w:r w:rsidR="00520CF2">
        <w:rPr>
          <w:lang w:val="fr-FR"/>
        </w:rPr>
        <w:t xml:space="preserve">: </w:t>
      </w:r>
      <w:r w:rsidRPr="00F41852">
        <w:rPr>
          <w:lang w:val="fr-FR"/>
        </w:rPr>
        <w:t xml:space="preserve">Bonnes compétences interpersonnelles et capacité à établir et à maintenir des partenariats et des relations de travail efficaces dans un environnement multiculturel et multiethnique avec sensibilité et respect de la diversité. </w:t>
      </w:r>
    </w:p>
    <w:p w:rsidR="005816FE" w:rsidRPr="00F41852" w:rsidRDefault="007836A7" w:rsidP="00520CF2">
      <w:pPr>
        <w:spacing w:before="240" w:after="240"/>
        <w:jc w:val="both"/>
        <w:rPr>
          <w:lang w:val="fr-FR"/>
        </w:rPr>
      </w:pPr>
      <w:r w:rsidRPr="00520CF2">
        <w:rPr>
          <w:b/>
          <w:lang w:val="fr-FR"/>
        </w:rPr>
        <w:t xml:space="preserve">Langues </w:t>
      </w:r>
      <w:r w:rsidRPr="00F41852">
        <w:rPr>
          <w:lang w:val="fr-FR"/>
        </w:rPr>
        <w:t xml:space="preserve">: La maîtrise de l’anglais écrit et oral (Français ou portugais) est requise en ce qui concerne le pays en question. Instructions spéciales Les lignes directrices pour le rapport national fourniront plus de détails techniques. </w:t>
      </w:r>
    </w:p>
    <w:p w:rsidR="000B5199" w:rsidRPr="0021685A" w:rsidRDefault="005816FE" w:rsidP="007836A7">
      <w:pPr>
        <w:spacing w:before="240" w:after="240"/>
        <w:jc w:val="both"/>
        <w:rPr>
          <w:rFonts w:ascii="Calibri" w:eastAsia="Calibri" w:hAnsi="Calibri" w:cs="Calibri"/>
          <w:b/>
          <w:color w:val="244061"/>
          <w:lang w:val="fr-FR"/>
        </w:rPr>
      </w:pPr>
      <w:r>
        <w:rPr>
          <w:rFonts w:ascii="Calibri" w:eastAsia="Calibri" w:hAnsi="Calibri" w:cs="Calibri"/>
          <w:b/>
          <w:color w:val="244061"/>
          <w:lang w:val="fr-FR"/>
        </w:rPr>
        <w:t>Compétences Requises</w:t>
      </w:r>
      <w:r w:rsidR="00BE7EDF">
        <w:rPr>
          <w:rFonts w:ascii="Calibri" w:eastAsia="Calibri" w:hAnsi="Calibri" w:cs="Calibri"/>
          <w:b/>
          <w:color w:val="244061"/>
          <w:lang w:val="fr-FR"/>
        </w:rPr>
        <w:t> :</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4512"/>
        <w:gridCol w:w="4513"/>
      </w:tblGrid>
      <w:tr w:rsidR="000B5199" w:rsidRPr="00120D81">
        <w:trPr>
          <w:trHeight w:val="2220"/>
        </w:trPr>
        <w:tc>
          <w:tcPr>
            <w:tcW w:w="4512" w:type="dxa"/>
            <w:tcBorders>
              <w:top w:val="single" w:sz="8" w:space="0" w:color="5B9BD5"/>
              <w:left w:val="single" w:sz="8" w:space="0" w:color="5B9BD5"/>
              <w:bottom w:val="single" w:sz="8" w:space="0" w:color="5B9BD5"/>
              <w:right w:val="single" w:sz="8" w:space="0" w:color="5B9BD5"/>
            </w:tcBorders>
            <w:tcMar>
              <w:top w:w="80" w:type="dxa"/>
              <w:left w:w="80" w:type="dxa"/>
              <w:bottom w:w="80" w:type="dxa"/>
              <w:right w:w="80" w:type="dxa"/>
            </w:tcMar>
          </w:tcPr>
          <w:p w:rsidR="000B5199" w:rsidRPr="00D91A43" w:rsidRDefault="00207164">
            <w:pPr>
              <w:spacing w:before="240" w:after="240"/>
              <w:ind w:left="100"/>
              <w:rPr>
                <w:rFonts w:ascii="Calibri" w:eastAsia="Calibri" w:hAnsi="Calibri" w:cs="Calibri"/>
                <w:b/>
                <w:color w:val="244061"/>
                <w:lang w:val="fr-FR"/>
              </w:rPr>
            </w:pPr>
            <w:r w:rsidRPr="00D91A43">
              <w:rPr>
                <w:rFonts w:ascii="Calibri" w:eastAsia="Calibri" w:hAnsi="Calibri" w:cs="Calibri"/>
                <w:b/>
                <w:color w:val="244061"/>
                <w:lang w:val="fr-FR"/>
              </w:rPr>
              <w:t xml:space="preserve"> </w:t>
            </w:r>
            <w:r w:rsidR="00BE7EDF" w:rsidRPr="00D91A43">
              <w:rPr>
                <w:rFonts w:ascii="Calibri" w:eastAsia="Calibri" w:hAnsi="Calibri" w:cs="Calibri"/>
                <w:b/>
                <w:color w:val="244061"/>
                <w:lang w:val="fr-FR"/>
              </w:rPr>
              <w:t>V</w:t>
            </w:r>
            <w:r w:rsidRPr="00D91A43">
              <w:rPr>
                <w:rFonts w:ascii="Calibri" w:eastAsia="Calibri" w:hAnsi="Calibri" w:cs="Calibri"/>
                <w:b/>
                <w:color w:val="244061"/>
                <w:lang w:val="fr-FR"/>
              </w:rPr>
              <w:t>aleurs</w:t>
            </w:r>
            <w:r w:rsidR="00BE7EDF">
              <w:rPr>
                <w:rFonts w:ascii="Calibri" w:eastAsia="Calibri" w:hAnsi="Calibri" w:cs="Calibri"/>
                <w:b/>
                <w:color w:val="244061"/>
                <w:lang w:val="fr-FR"/>
              </w:rPr>
              <w:t> :</w:t>
            </w:r>
          </w:p>
          <w:p w:rsidR="000B5199" w:rsidRPr="00D91A43" w:rsidRDefault="00080EC4">
            <w:pPr>
              <w:spacing w:line="276" w:lineRule="auto"/>
              <w:ind w:left="780" w:hanging="260"/>
              <w:rPr>
                <w:rFonts w:ascii="Calibri" w:eastAsia="Calibri" w:hAnsi="Calibri" w:cs="Calibri"/>
                <w:lang w:val="fr-FR"/>
              </w:rPr>
            </w:pPr>
            <w:r w:rsidRPr="00D91A43">
              <w:rPr>
                <w:rFonts w:ascii="Trebuchet MS" w:eastAsia="Trebuchet MS" w:hAnsi="Trebuchet MS" w:cs="Trebuchet MS"/>
                <w:lang w:val="fr-FR"/>
              </w:rPr>
              <w:t>•</w:t>
            </w:r>
            <w:r w:rsidRPr="00D91A43">
              <w:rPr>
                <w:sz w:val="14"/>
                <w:szCs w:val="14"/>
                <w:lang w:val="fr-FR"/>
              </w:rPr>
              <w:tab/>
            </w:r>
            <w:r w:rsidR="00E40542">
              <w:rPr>
                <w:rFonts w:ascii="Calibri" w:eastAsia="Calibri" w:hAnsi="Calibri" w:cs="Calibri"/>
                <w:lang w:val="fr-FR"/>
              </w:rPr>
              <w:t>être un exemple</w:t>
            </w:r>
            <w:r w:rsidR="00207164" w:rsidRPr="00D91A43">
              <w:rPr>
                <w:rFonts w:ascii="Calibri" w:eastAsia="Calibri" w:hAnsi="Calibri" w:cs="Calibri"/>
                <w:lang w:val="fr-FR"/>
              </w:rPr>
              <w:t xml:space="preserve"> </w:t>
            </w:r>
            <w:r w:rsidR="00E40542">
              <w:rPr>
                <w:rFonts w:ascii="Calibri" w:eastAsia="Calibri" w:hAnsi="Calibri" w:cs="Calibri"/>
                <w:lang w:val="fr-FR"/>
              </w:rPr>
              <w:t>d</w:t>
            </w:r>
            <w:r w:rsidR="00207164" w:rsidRPr="00D91A43">
              <w:rPr>
                <w:rFonts w:ascii="Calibri" w:eastAsia="Calibri" w:hAnsi="Calibri" w:cs="Calibri"/>
                <w:lang w:val="fr-FR"/>
              </w:rPr>
              <w:t>’intégrité</w:t>
            </w:r>
          </w:p>
          <w:p w:rsidR="000B5199" w:rsidRPr="004872A3" w:rsidRDefault="00080EC4">
            <w:pPr>
              <w:spacing w:line="276" w:lineRule="auto"/>
              <w:ind w:left="780" w:hanging="260"/>
              <w:rPr>
                <w:rFonts w:ascii="Calibri" w:eastAsia="Calibri" w:hAnsi="Calibri" w:cs="Calibri"/>
                <w:lang w:val="fr-FR"/>
              </w:rPr>
            </w:pPr>
            <w:r w:rsidRPr="004872A3">
              <w:rPr>
                <w:rFonts w:ascii="Trebuchet MS" w:eastAsia="Trebuchet MS" w:hAnsi="Trebuchet MS" w:cs="Trebuchet MS"/>
                <w:lang w:val="fr-FR"/>
              </w:rPr>
              <w:t>•</w:t>
            </w:r>
            <w:r w:rsidRPr="004872A3">
              <w:rPr>
                <w:sz w:val="14"/>
                <w:szCs w:val="14"/>
                <w:lang w:val="fr-FR"/>
              </w:rPr>
              <w:tab/>
            </w:r>
            <w:r w:rsidR="004872A3" w:rsidRPr="004872A3">
              <w:rPr>
                <w:rFonts w:ascii="Calibri" w:eastAsia="Calibri" w:hAnsi="Calibri" w:cs="Calibri"/>
                <w:lang w:val="fr-FR"/>
              </w:rPr>
              <w:t xml:space="preserve">Démontrer son engagement envers l’UNFPA et le </w:t>
            </w:r>
            <w:r w:rsidR="00E40542" w:rsidRPr="004872A3">
              <w:rPr>
                <w:rFonts w:ascii="Calibri" w:eastAsia="Calibri" w:hAnsi="Calibri" w:cs="Calibri"/>
                <w:lang w:val="fr-FR"/>
              </w:rPr>
              <w:t>Système</w:t>
            </w:r>
            <w:r w:rsidR="004872A3" w:rsidRPr="004872A3">
              <w:rPr>
                <w:rFonts w:ascii="Calibri" w:eastAsia="Calibri" w:hAnsi="Calibri" w:cs="Calibri"/>
                <w:lang w:val="fr-FR"/>
              </w:rPr>
              <w:t xml:space="preserve"> des Nations Unies</w:t>
            </w:r>
          </w:p>
          <w:p w:rsidR="000B5199" w:rsidRPr="004872A3" w:rsidRDefault="00080EC4">
            <w:pPr>
              <w:spacing w:line="276" w:lineRule="auto"/>
              <w:ind w:left="780" w:hanging="260"/>
              <w:rPr>
                <w:rFonts w:ascii="Calibri" w:eastAsia="Calibri" w:hAnsi="Calibri" w:cs="Calibri"/>
                <w:lang w:val="fr-FR"/>
              </w:rPr>
            </w:pPr>
            <w:r w:rsidRPr="004872A3">
              <w:rPr>
                <w:rFonts w:ascii="Trebuchet MS" w:eastAsia="Trebuchet MS" w:hAnsi="Trebuchet MS" w:cs="Trebuchet MS"/>
                <w:lang w:val="fr-FR"/>
              </w:rPr>
              <w:t>•</w:t>
            </w:r>
            <w:r w:rsidRPr="004872A3">
              <w:rPr>
                <w:sz w:val="14"/>
                <w:szCs w:val="14"/>
                <w:lang w:val="fr-FR"/>
              </w:rPr>
              <w:tab/>
            </w:r>
            <w:r w:rsidR="004872A3">
              <w:rPr>
                <w:rFonts w:ascii="Calibri" w:eastAsia="Calibri" w:hAnsi="Calibri" w:cs="Calibri"/>
                <w:lang w:val="fr-FR"/>
              </w:rPr>
              <w:t>s’adapter à</w:t>
            </w:r>
            <w:r w:rsidR="004872A3" w:rsidRPr="004872A3">
              <w:rPr>
                <w:rFonts w:ascii="Calibri" w:eastAsia="Calibri" w:hAnsi="Calibri" w:cs="Calibri"/>
                <w:lang w:val="fr-FR"/>
              </w:rPr>
              <w:t xml:space="preserve"> la diversité culturelle</w:t>
            </w:r>
          </w:p>
          <w:p w:rsidR="000B5199" w:rsidRPr="004872A3" w:rsidRDefault="00080EC4">
            <w:pPr>
              <w:spacing w:line="276" w:lineRule="auto"/>
              <w:ind w:left="780" w:hanging="260"/>
              <w:rPr>
                <w:rFonts w:ascii="Calibri" w:eastAsia="Calibri" w:hAnsi="Calibri" w:cs="Calibri"/>
                <w:lang w:val="fr-FR"/>
              </w:rPr>
            </w:pPr>
            <w:r w:rsidRPr="004872A3">
              <w:rPr>
                <w:rFonts w:ascii="Trebuchet MS" w:eastAsia="Trebuchet MS" w:hAnsi="Trebuchet MS" w:cs="Trebuchet MS"/>
                <w:lang w:val="fr-FR"/>
              </w:rPr>
              <w:t>•</w:t>
            </w:r>
            <w:r w:rsidR="00BE7EDF">
              <w:rPr>
                <w:sz w:val="14"/>
                <w:szCs w:val="14"/>
                <w:lang w:val="fr-FR"/>
              </w:rPr>
              <w:t xml:space="preserve">  </w:t>
            </w:r>
            <w:r w:rsidR="004872A3" w:rsidRPr="004872A3">
              <w:rPr>
                <w:rFonts w:ascii="Calibri" w:eastAsia="Calibri" w:hAnsi="Calibri" w:cs="Calibri"/>
                <w:lang w:val="fr-FR"/>
              </w:rPr>
              <w:t xml:space="preserve"> s’adapter au changement</w:t>
            </w:r>
          </w:p>
        </w:tc>
        <w:tc>
          <w:tcPr>
            <w:tcW w:w="4512" w:type="dxa"/>
            <w:tcBorders>
              <w:top w:val="single" w:sz="8" w:space="0" w:color="5B9BD5"/>
              <w:left w:val="nil"/>
              <w:bottom w:val="single" w:sz="8" w:space="0" w:color="5B9BD5"/>
              <w:right w:val="single" w:sz="8" w:space="0" w:color="5B9BD5"/>
            </w:tcBorders>
            <w:tcMar>
              <w:top w:w="80" w:type="dxa"/>
              <w:left w:w="80" w:type="dxa"/>
              <w:bottom w:w="80" w:type="dxa"/>
              <w:right w:w="80" w:type="dxa"/>
            </w:tcMar>
          </w:tcPr>
          <w:p w:rsidR="000B5199" w:rsidRPr="004872A3" w:rsidRDefault="004872A3">
            <w:pPr>
              <w:spacing w:before="240" w:line="276" w:lineRule="auto"/>
              <w:ind w:left="100"/>
              <w:rPr>
                <w:rFonts w:ascii="Calibri" w:eastAsia="Calibri" w:hAnsi="Calibri" w:cs="Calibri"/>
                <w:b/>
                <w:color w:val="244061"/>
                <w:lang w:val="fr-FR"/>
              </w:rPr>
            </w:pPr>
            <w:r w:rsidRPr="004872A3">
              <w:rPr>
                <w:rFonts w:ascii="Calibri" w:eastAsia="Calibri" w:hAnsi="Calibri" w:cs="Calibri"/>
                <w:b/>
                <w:color w:val="244061"/>
                <w:lang w:val="fr-FR"/>
              </w:rPr>
              <w:t xml:space="preserve"> Compétences fonctionnelles</w:t>
            </w:r>
            <w:r w:rsidR="00BE7EDF">
              <w:rPr>
                <w:rFonts w:ascii="Calibri" w:eastAsia="Calibri" w:hAnsi="Calibri" w:cs="Calibri"/>
                <w:b/>
                <w:color w:val="244061"/>
                <w:lang w:val="fr-FR"/>
              </w:rPr>
              <w:t> :</w:t>
            </w:r>
          </w:p>
          <w:p w:rsidR="000B5199" w:rsidRPr="004872A3" w:rsidRDefault="00080EC4">
            <w:pPr>
              <w:spacing w:line="276" w:lineRule="auto"/>
              <w:ind w:left="780" w:hanging="260"/>
              <w:rPr>
                <w:rFonts w:ascii="Calibri" w:eastAsia="Calibri" w:hAnsi="Calibri" w:cs="Calibri"/>
                <w:i/>
                <w:lang w:val="fr-FR"/>
              </w:rPr>
            </w:pPr>
            <w:r w:rsidRPr="004872A3">
              <w:rPr>
                <w:rFonts w:ascii="Trebuchet MS" w:eastAsia="Trebuchet MS" w:hAnsi="Trebuchet MS" w:cs="Trebuchet MS"/>
                <w:lang w:val="fr-FR"/>
              </w:rPr>
              <w:t>•</w:t>
            </w:r>
            <w:r w:rsidRPr="004872A3">
              <w:rPr>
                <w:sz w:val="14"/>
                <w:szCs w:val="14"/>
                <w:lang w:val="fr-FR"/>
              </w:rPr>
              <w:tab/>
            </w:r>
            <w:r w:rsidR="00BE7EDF">
              <w:rPr>
                <w:rFonts w:ascii="Calibri" w:eastAsia="Calibri" w:hAnsi="Calibri" w:cs="Calibri"/>
                <w:i/>
                <w:highlight w:val="yellow"/>
                <w:lang w:val="fr-FR"/>
              </w:rPr>
              <w:t>[</w:t>
            </w:r>
            <w:r w:rsidR="00BE7EDF" w:rsidRPr="004872A3">
              <w:rPr>
                <w:rFonts w:ascii="Calibri" w:eastAsia="Calibri" w:hAnsi="Calibri" w:cs="Calibri"/>
                <w:i/>
                <w:lang w:val="fr-FR"/>
              </w:rPr>
              <w:t>du cadre de compétences</w:t>
            </w:r>
            <w:r w:rsidRPr="004872A3">
              <w:rPr>
                <w:rFonts w:ascii="Calibri" w:eastAsia="Calibri" w:hAnsi="Calibri" w:cs="Calibri"/>
                <w:i/>
                <w:lang w:val="fr-FR"/>
              </w:rPr>
              <w:t>]</w:t>
            </w:r>
            <w:r w:rsidR="004872A3" w:rsidRPr="004872A3">
              <w:rPr>
                <w:rFonts w:ascii="Calibri" w:eastAsia="Calibri" w:hAnsi="Calibri" w:cs="Calibri"/>
                <w:i/>
                <w:lang w:val="fr-FR"/>
              </w:rPr>
              <w:t xml:space="preserve"> </w:t>
            </w:r>
          </w:p>
          <w:p w:rsidR="000B5199" w:rsidRPr="004872A3" w:rsidRDefault="00080EC4">
            <w:pPr>
              <w:spacing w:before="240" w:after="240"/>
              <w:ind w:left="100"/>
              <w:rPr>
                <w:rFonts w:ascii="Calibri" w:eastAsia="Calibri" w:hAnsi="Calibri" w:cs="Calibri"/>
                <w:sz w:val="22"/>
                <w:szCs w:val="22"/>
                <w:lang w:val="fr-FR"/>
              </w:rPr>
            </w:pPr>
            <w:r w:rsidRPr="004872A3">
              <w:rPr>
                <w:rFonts w:ascii="Calibri" w:eastAsia="Calibri" w:hAnsi="Calibri" w:cs="Calibri"/>
                <w:sz w:val="22"/>
                <w:szCs w:val="22"/>
                <w:lang w:val="fr-FR"/>
              </w:rPr>
              <w:t xml:space="preserve"> </w:t>
            </w:r>
          </w:p>
        </w:tc>
      </w:tr>
      <w:tr w:rsidR="000B5199" w:rsidRPr="00120D81">
        <w:trPr>
          <w:trHeight w:val="2445"/>
        </w:trPr>
        <w:tc>
          <w:tcPr>
            <w:tcW w:w="9024" w:type="dxa"/>
            <w:gridSpan w:val="2"/>
            <w:tcBorders>
              <w:top w:val="nil"/>
              <w:left w:val="single" w:sz="8" w:space="0" w:color="5B9BD5"/>
              <w:bottom w:val="single" w:sz="8" w:space="0" w:color="5B9BD5"/>
              <w:right w:val="single" w:sz="8" w:space="0" w:color="5B9BD5"/>
            </w:tcBorders>
            <w:tcMar>
              <w:top w:w="80" w:type="dxa"/>
              <w:left w:w="80" w:type="dxa"/>
              <w:bottom w:w="80" w:type="dxa"/>
              <w:right w:w="80" w:type="dxa"/>
            </w:tcMar>
          </w:tcPr>
          <w:p w:rsidR="000B5199" w:rsidRPr="005816FE" w:rsidRDefault="005816FE">
            <w:pPr>
              <w:spacing w:before="240" w:line="276" w:lineRule="auto"/>
              <w:ind w:left="100"/>
              <w:rPr>
                <w:rFonts w:ascii="Calibri" w:eastAsia="Calibri" w:hAnsi="Calibri" w:cs="Calibri"/>
                <w:b/>
                <w:color w:val="244061"/>
                <w:lang w:val="fr-FR"/>
              </w:rPr>
            </w:pPr>
            <w:r w:rsidRPr="005816FE">
              <w:rPr>
                <w:rFonts w:ascii="Calibri" w:eastAsia="Calibri" w:hAnsi="Calibri" w:cs="Calibri"/>
                <w:b/>
                <w:color w:val="244061"/>
                <w:lang w:val="fr-FR"/>
              </w:rPr>
              <w:lastRenderedPageBreak/>
              <w:t>Compétences de base</w:t>
            </w:r>
            <w:r w:rsidR="00BE7EDF">
              <w:rPr>
                <w:rFonts w:ascii="Calibri" w:eastAsia="Calibri" w:hAnsi="Calibri" w:cs="Calibri"/>
                <w:b/>
                <w:color w:val="244061"/>
                <w:lang w:val="fr-FR"/>
              </w:rPr>
              <w:t> :</w:t>
            </w:r>
          </w:p>
          <w:p w:rsidR="000B5199" w:rsidRPr="005816FE" w:rsidRDefault="00080EC4">
            <w:pPr>
              <w:spacing w:line="276" w:lineRule="auto"/>
              <w:ind w:left="780" w:hanging="260"/>
              <w:rPr>
                <w:rFonts w:ascii="Calibri" w:eastAsia="Calibri" w:hAnsi="Calibri" w:cs="Calibri"/>
                <w:lang w:val="fr-FR"/>
              </w:rPr>
            </w:pPr>
            <w:r w:rsidRPr="005816FE">
              <w:rPr>
                <w:rFonts w:ascii="Trebuchet MS" w:eastAsia="Trebuchet MS" w:hAnsi="Trebuchet MS" w:cs="Trebuchet MS"/>
                <w:lang w:val="fr-FR"/>
              </w:rPr>
              <w:t>•</w:t>
            </w:r>
            <w:r w:rsidRPr="005816FE">
              <w:rPr>
                <w:sz w:val="14"/>
                <w:szCs w:val="14"/>
                <w:lang w:val="fr-FR"/>
              </w:rPr>
              <w:tab/>
            </w:r>
            <w:r w:rsidR="005816FE" w:rsidRPr="005816FE">
              <w:rPr>
                <w:rFonts w:ascii="Calibri" w:eastAsia="Calibri" w:hAnsi="Calibri" w:cs="Calibri"/>
                <w:lang w:val="fr-FR"/>
              </w:rPr>
              <w:t>Obtenir des résultats</w:t>
            </w:r>
          </w:p>
          <w:p w:rsidR="000B5199" w:rsidRPr="00D91A43" w:rsidRDefault="00080EC4">
            <w:pPr>
              <w:spacing w:line="276" w:lineRule="auto"/>
              <w:ind w:left="780" w:hanging="260"/>
              <w:rPr>
                <w:rFonts w:ascii="Calibri" w:eastAsia="Calibri" w:hAnsi="Calibri" w:cs="Calibri"/>
                <w:lang w:val="fr-FR"/>
              </w:rPr>
            </w:pPr>
            <w:r w:rsidRPr="00D91A43">
              <w:rPr>
                <w:rFonts w:ascii="Trebuchet MS" w:eastAsia="Trebuchet MS" w:hAnsi="Trebuchet MS" w:cs="Trebuchet MS"/>
                <w:lang w:val="fr-FR"/>
              </w:rPr>
              <w:t>•</w:t>
            </w:r>
            <w:r w:rsidRPr="00D91A43">
              <w:rPr>
                <w:sz w:val="14"/>
                <w:szCs w:val="14"/>
                <w:lang w:val="fr-FR"/>
              </w:rPr>
              <w:tab/>
            </w:r>
            <w:r w:rsidR="005816FE" w:rsidRPr="00D91A43">
              <w:rPr>
                <w:rFonts w:ascii="Calibri" w:eastAsia="Calibri" w:hAnsi="Calibri" w:cs="Calibri"/>
                <w:lang w:val="fr-FR"/>
              </w:rPr>
              <w:t>Etre responsable</w:t>
            </w:r>
          </w:p>
          <w:p w:rsidR="000B5199" w:rsidRPr="005816FE" w:rsidRDefault="00080EC4">
            <w:pPr>
              <w:spacing w:line="276" w:lineRule="auto"/>
              <w:ind w:left="780" w:hanging="260"/>
              <w:rPr>
                <w:rFonts w:ascii="Calibri" w:eastAsia="Calibri" w:hAnsi="Calibri" w:cs="Calibri"/>
                <w:lang w:val="fr-FR"/>
              </w:rPr>
            </w:pPr>
            <w:r w:rsidRPr="005816FE">
              <w:rPr>
                <w:rFonts w:ascii="Trebuchet MS" w:eastAsia="Trebuchet MS" w:hAnsi="Trebuchet MS" w:cs="Trebuchet MS"/>
                <w:lang w:val="fr-FR"/>
              </w:rPr>
              <w:t>•</w:t>
            </w:r>
            <w:r w:rsidRPr="005816FE">
              <w:rPr>
                <w:sz w:val="14"/>
                <w:szCs w:val="14"/>
                <w:lang w:val="fr-FR"/>
              </w:rPr>
              <w:tab/>
            </w:r>
            <w:r w:rsidR="00BE7EDF">
              <w:rPr>
                <w:rFonts w:ascii="Calibri" w:eastAsia="Calibri" w:hAnsi="Calibri" w:cs="Calibri"/>
                <w:lang w:val="fr-FR"/>
              </w:rPr>
              <w:t xml:space="preserve"> </w:t>
            </w:r>
            <w:r w:rsidR="005816FE" w:rsidRPr="005816FE">
              <w:rPr>
                <w:rFonts w:ascii="Calibri" w:eastAsia="Calibri" w:hAnsi="Calibri" w:cs="Calibri"/>
                <w:lang w:val="fr-FR"/>
              </w:rPr>
              <w:t>Développer et appliquer une expertise professionnelle / un sens des affaires</w:t>
            </w:r>
          </w:p>
          <w:p w:rsidR="000B5199" w:rsidRPr="00BE7EDF" w:rsidRDefault="00080EC4">
            <w:pPr>
              <w:spacing w:line="276" w:lineRule="auto"/>
              <w:ind w:left="780" w:hanging="260"/>
              <w:rPr>
                <w:rFonts w:ascii="Calibri" w:eastAsia="Calibri" w:hAnsi="Calibri" w:cs="Calibri"/>
                <w:lang w:val="fr-FR"/>
              </w:rPr>
            </w:pPr>
            <w:r w:rsidRPr="00BE7EDF">
              <w:rPr>
                <w:rFonts w:ascii="Trebuchet MS" w:eastAsia="Trebuchet MS" w:hAnsi="Trebuchet MS" w:cs="Trebuchet MS"/>
                <w:lang w:val="fr-FR"/>
              </w:rPr>
              <w:t>•</w:t>
            </w:r>
            <w:r w:rsidRPr="00BE7EDF">
              <w:rPr>
                <w:sz w:val="14"/>
                <w:szCs w:val="14"/>
                <w:lang w:val="fr-FR"/>
              </w:rPr>
              <w:tab/>
            </w:r>
            <w:r w:rsidR="005816FE" w:rsidRPr="00BE7EDF">
              <w:rPr>
                <w:rFonts w:ascii="Calibri" w:eastAsia="Calibri" w:hAnsi="Calibri" w:cs="Calibri"/>
                <w:lang w:val="fr-FR"/>
              </w:rPr>
              <w:t>Penser</w:t>
            </w:r>
            <w:r w:rsidR="00E40542" w:rsidRPr="00BE7EDF">
              <w:rPr>
                <w:rFonts w:ascii="Calibri" w:eastAsia="Calibri" w:hAnsi="Calibri" w:cs="Calibri"/>
                <w:lang w:val="fr-FR"/>
              </w:rPr>
              <w:t xml:space="preserve"> de </w:t>
            </w:r>
            <w:proofErr w:type="spellStart"/>
            <w:r w:rsidR="00E40542" w:rsidRPr="00BE7EDF">
              <w:rPr>
                <w:rFonts w:ascii="Calibri" w:eastAsia="Calibri" w:hAnsi="Calibri" w:cs="Calibri"/>
                <w:lang w:val="fr-FR"/>
              </w:rPr>
              <w:t>maniere</w:t>
            </w:r>
            <w:proofErr w:type="spellEnd"/>
            <w:r w:rsidR="005816FE" w:rsidRPr="00BE7EDF">
              <w:rPr>
                <w:rFonts w:ascii="Calibri" w:eastAsia="Calibri" w:hAnsi="Calibri" w:cs="Calibri"/>
                <w:lang w:val="fr-FR"/>
              </w:rPr>
              <w:t xml:space="preserve"> analytique et stratégique</w:t>
            </w:r>
          </w:p>
          <w:p w:rsidR="000B5199" w:rsidRPr="00BE7EDF" w:rsidRDefault="00080EC4">
            <w:pPr>
              <w:spacing w:line="276" w:lineRule="auto"/>
              <w:ind w:left="780" w:hanging="260"/>
              <w:rPr>
                <w:rFonts w:ascii="Calibri" w:eastAsia="Calibri" w:hAnsi="Calibri" w:cs="Calibri"/>
                <w:lang w:val="fr-FR"/>
              </w:rPr>
            </w:pPr>
            <w:r w:rsidRPr="00BE7EDF">
              <w:rPr>
                <w:rFonts w:ascii="Trebuchet MS" w:eastAsia="Trebuchet MS" w:hAnsi="Trebuchet MS" w:cs="Trebuchet MS"/>
                <w:lang w:val="fr-FR"/>
              </w:rPr>
              <w:t>•</w:t>
            </w:r>
            <w:r w:rsidRPr="00BE7EDF">
              <w:rPr>
                <w:sz w:val="14"/>
                <w:szCs w:val="14"/>
                <w:lang w:val="fr-FR"/>
              </w:rPr>
              <w:tab/>
            </w:r>
            <w:r w:rsidR="005816FE" w:rsidRPr="00BE7EDF">
              <w:rPr>
                <w:rFonts w:ascii="Calibri" w:eastAsia="Calibri" w:hAnsi="Calibri" w:cs="Calibri"/>
                <w:lang w:val="fr-FR"/>
              </w:rPr>
              <w:t>Travailler en équipe/</w:t>
            </w:r>
            <w:r w:rsidR="00E40542" w:rsidRPr="00BE7EDF">
              <w:rPr>
                <w:rFonts w:ascii="Calibri" w:eastAsia="Calibri" w:hAnsi="Calibri" w:cs="Calibri"/>
                <w:lang w:val="fr-FR"/>
              </w:rPr>
              <w:t xml:space="preserve">se </w:t>
            </w:r>
            <w:r w:rsidR="005816FE" w:rsidRPr="00BE7EDF">
              <w:rPr>
                <w:rFonts w:ascii="Calibri" w:eastAsia="Calibri" w:hAnsi="Calibri" w:cs="Calibri"/>
                <w:lang w:val="fr-FR"/>
              </w:rPr>
              <w:t>gérer soi-même et ses relations</w:t>
            </w:r>
          </w:p>
          <w:p w:rsidR="000B5199" w:rsidRPr="00BE7EDF" w:rsidRDefault="00080EC4" w:rsidP="00266CFC">
            <w:pPr>
              <w:spacing w:line="276" w:lineRule="auto"/>
              <w:ind w:left="780" w:hanging="260"/>
              <w:rPr>
                <w:rFonts w:ascii="Calibri" w:eastAsia="Calibri" w:hAnsi="Calibri" w:cs="Calibri"/>
                <w:sz w:val="22"/>
                <w:szCs w:val="22"/>
                <w:lang w:val="fr-FR"/>
              </w:rPr>
            </w:pPr>
            <w:r w:rsidRPr="00BE7EDF">
              <w:rPr>
                <w:rFonts w:ascii="Trebuchet MS" w:eastAsia="Trebuchet MS" w:hAnsi="Trebuchet MS" w:cs="Trebuchet MS"/>
                <w:lang w:val="fr-FR"/>
              </w:rPr>
              <w:t>•</w:t>
            </w:r>
            <w:r w:rsidRPr="00BE7EDF">
              <w:rPr>
                <w:sz w:val="14"/>
                <w:szCs w:val="14"/>
                <w:lang w:val="fr-FR"/>
              </w:rPr>
              <w:tab/>
            </w:r>
            <w:r w:rsidR="006F627C" w:rsidRPr="00BE7EDF">
              <w:rPr>
                <w:rFonts w:ascii="Calibri" w:eastAsia="Calibri" w:hAnsi="Calibri" w:cs="Calibri"/>
                <w:lang w:val="fr-FR"/>
              </w:rPr>
              <w:t>Communiquer pour avoir un impact</w:t>
            </w:r>
            <w:r w:rsidRPr="00BE7EDF">
              <w:rPr>
                <w:rFonts w:ascii="Calibri" w:eastAsia="Calibri" w:hAnsi="Calibri" w:cs="Calibri"/>
                <w:sz w:val="22"/>
                <w:szCs w:val="22"/>
                <w:lang w:val="fr-FR"/>
              </w:rPr>
              <w:t xml:space="preserve"> </w:t>
            </w:r>
          </w:p>
        </w:tc>
      </w:tr>
      <w:tr w:rsidR="000B5199" w:rsidRPr="00120D81" w:rsidTr="006A5478">
        <w:trPr>
          <w:trHeight w:val="271"/>
        </w:trPr>
        <w:tc>
          <w:tcPr>
            <w:tcW w:w="9024" w:type="dxa"/>
            <w:gridSpan w:val="2"/>
            <w:tcBorders>
              <w:top w:val="nil"/>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rsidR="000B5199" w:rsidRPr="00BE7EDF" w:rsidRDefault="00080EC4" w:rsidP="006A5478">
            <w:pPr>
              <w:spacing w:before="240" w:line="276" w:lineRule="auto"/>
              <w:rPr>
                <w:rFonts w:ascii="Calibri" w:eastAsia="Calibri" w:hAnsi="Calibri" w:cs="Calibri"/>
                <w:b/>
                <w:color w:val="244061"/>
                <w:lang w:val="fr-FR"/>
              </w:rPr>
            </w:pPr>
            <w:r w:rsidRPr="00BE7EDF">
              <w:rPr>
                <w:rFonts w:ascii="Calibri" w:eastAsia="Calibri" w:hAnsi="Calibri" w:cs="Calibri"/>
                <w:b/>
                <w:color w:val="244061"/>
                <w:lang w:val="fr-FR"/>
              </w:rPr>
              <w:t xml:space="preserve"> </w:t>
            </w:r>
          </w:p>
        </w:tc>
      </w:tr>
    </w:tbl>
    <w:p w:rsidR="006A5478" w:rsidRPr="00BE7EDF" w:rsidRDefault="006A5478">
      <w:pPr>
        <w:spacing w:before="240" w:line="276" w:lineRule="auto"/>
        <w:rPr>
          <w:rFonts w:ascii="Calibri" w:eastAsia="Calibri" w:hAnsi="Calibri" w:cs="Calibri"/>
          <w:b/>
          <w:color w:val="244061"/>
          <w:lang w:val="fr-FR"/>
        </w:rPr>
      </w:pPr>
    </w:p>
    <w:tbl>
      <w:tblPr>
        <w:tblStyle w:val="TableGrid"/>
        <w:tblW w:w="0" w:type="auto"/>
        <w:tblLook w:val="04A0" w:firstRow="1" w:lastRow="0" w:firstColumn="1" w:lastColumn="0" w:noHBand="0" w:noVBand="1"/>
      </w:tblPr>
      <w:tblGrid>
        <w:gridCol w:w="2286"/>
        <w:gridCol w:w="6724"/>
      </w:tblGrid>
      <w:tr w:rsidR="006A5478" w:rsidRPr="00120D81" w:rsidTr="008E3FDA">
        <w:tc>
          <w:tcPr>
            <w:tcW w:w="2286" w:type="dxa"/>
          </w:tcPr>
          <w:p w:rsidR="006A5478" w:rsidRPr="004A093A" w:rsidRDefault="00956747" w:rsidP="008E3FDA">
            <w:pPr>
              <w:spacing w:after="200" w:line="276" w:lineRule="auto"/>
              <w:rPr>
                <w:rFonts w:cs="Calibri"/>
                <w:bCs/>
                <w:color w:val="000000"/>
                <w:sz w:val="24"/>
                <w:szCs w:val="24"/>
                <w:shd w:val="clear" w:color="auto" w:fill="FFFFFF"/>
              </w:rPr>
            </w:pPr>
            <w:r>
              <w:rPr>
                <w:rFonts w:cs="Calibri"/>
                <w:b/>
                <w:color w:val="244061"/>
                <w:sz w:val="24"/>
                <w:szCs w:val="24"/>
              </w:rPr>
              <w:t>Comment Postuler</w:t>
            </w:r>
            <w:r w:rsidR="006A5478" w:rsidRPr="004A093A">
              <w:rPr>
                <w:rFonts w:cs="Calibri"/>
                <w:b/>
                <w:color w:val="244061"/>
                <w:sz w:val="24"/>
                <w:szCs w:val="24"/>
              </w:rPr>
              <w:t>:</w:t>
            </w:r>
          </w:p>
        </w:tc>
        <w:tc>
          <w:tcPr>
            <w:tcW w:w="6724" w:type="dxa"/>
          </w:tcPr>
          <w:p w:rsidR="006A5478" w:rsidRPr="004A093A" w:rsidRDefault="006A5478" w:rsidP="006A5478">
            <w:pPr>
              <w:numPr>
                <w:ilvl w:val="0"/>
                <w:numId w:val="6"/>
              </w:numPr>
              <w:shd w:val="clear" w:color="auto" w:fill="FFFFFF"/>
              <w:spacing w:line="276" w:lineRule="auto"/>
              <w:contextualSpacing/>
              <w:rPr>
                <w:rFonts w:cs="Calibri"/>
                <w:color w:val="000000"/>
                <w:sz w:val="24"/>
                <w:szCs w:val="24"/>
                <w:lang w:eastAsia="fr-FR"/>
              </w:rPr>
            </w:pPr>
            <w:r w:rsidRPr="004A093A">
              <w:rPr>
                <w:rFonts w:cs="Calibri"/>
                <w:color w:val="000000"/>
                <w:sz w:val="24"/>
                <w:szCs w:val="24"/>
                <w:lang w:eastAsia="fr-FR"/>
              </w:rPr>
              <w:t>Veuillez envoyer votre CV par E-mail, accompagné d’une lettre de motivation et du formulaire P11 à ginprocurement@unfpa.org</w:t>
            </w:r>
          </w:p>
          <w:p w:rsidR="006A5478" w:rsidRPr="004A093A" w:rsidRDefault="006A5478" w:rsidP="006A5478">
            <w:pPr>
              <w:numPr>
                <w:ilvl w:val="0"/>
                <w:numId w:val="6"/>
              </w:numPr>
              <w:shd w:val="clear" w:color="auto" w:fill="FFFFFF"/>
              <w:spacing w:line="276" w:lineRule="auto"/>
              <w:contextualSpacing/>
              <w:rPr>
                <w:rFonts w:cs="Calibri"/>
                <w:color w:val="000000"/>
                <w:sz w:val="24"/>
                <w:szCs w:val="24"/>
                <w:lang w:eastAsia="fr-FR"/>
              </w:rPr>
            </w:pPr>
            <w:r w:rsidRPr="004A093A">
              <w:rPr>
                <w:rFonts w:cs="Calibri"/>
                <w:color w:val="000000"/>
                <w:sz w:val="24"/>
                <w:szCs w:val="24"/>
                <w:lang w:eastAsia="fr-FR"/>
              </w:rPr>
              <w:t>Veuillez spécifier le titre de la consultation dans l’objet de l’E-mail</w:t>
            </w:r>
          </w:p>
          <w:p w:rsidR="006A5478" w:rsidRPr="004A093A" w:rsidRDefault="006A5478" w:rsidP="006A5478">
            <w:pPr>
              <w:numPr>
                <w:ilvl w:val="0"/>
                <w:numId w:val="6"/>
              </w:numPr>
              <w:shd w:val="clear" w:color="auto" w:fill="FFFFFF"/>
              <w:spacing w:line="276" w:lineRule="auto"/>
              <w:contextualSpacing/>
              <w:rPr>
                <w:rFonts w:cs="Calibri"/>
                <w:color w:val="000000"/>
                <w:sz w:val="24"/>
                <w:szCs w:val="24"/>
                <w:lang w:eastAsia="fr-FR"/>
              </w:rPr>
            </w:pPr>
            <w:r w:rsidRPr="004A093A">
              <w:rPr>
                <w:rFonts w:cs="Calibri"/>
                <w:color w:val="000000"/>
                <w:sz w:val="24"/>
                <w:szCs w:val="24"/>
                <w:lang w:eastAsia="fr-FR"/>
              </w:rPr>
              <w:t xml:space="preserve">Seules les soumissions envoyées à </w:t>
            </w:r>
            <w:hyperlink r:id="rId8" w:history="1">
              <w:r w:rsidRPr="004A093A">
                <w:rPr>
                  <w:rFonts w:cs="Calibri"/>
                  <w:color w:val="0000FF"/>
                  <w:sz w:val="24"/>
                  <w:szCs w:val="24"/>
                  <w:u w:val="single"/>
                  <w:lang w:eastAsia="fr-FR"/>
                </w:rPr>
                <w:t>ginprocurement@unfpa.org</w:t>
              </w:r>
            </w:hyperlink>
            <w:r w:rsidRPr="004A093A">
              <w:rPr>
                <w:rFonts w:cs="Calibri"/>
                <w:color w:val="000000"/>
                <w:sz w:val="24"/>
                <w:szCs w:val="24"/>
                <w:lang w:eastAsia="fr-FR"/>
              </w:rPr>
              <w:t xml:space="preserve"> seront considérées</w:t>
            </w:r>
          </w:p>
          <w:p w:rsidR="006A5478" w:rsidRPr="004A093A" w:rsidRDefault="006A5478" w:rsidP="00956747">
            <w:pPr>
              <w:numPr>
                <w:ilvl w:val="0"/>
                <w:numId w:val="6"/>
              </w:numPr>
              <w:spacing w:after="200" w:line="276" w:lineRule="auto"/>
              <w:contextualSpacing/>
              <w:rPr>
                <w:rFonts w:cs="Calibri"/>
                <w:sz w:val="24"/>
                <w:szCs w:val="24"/>
              </w:rPr>
            </w:pPr>
            <w:r w:rsidRPr="004A093A">
              <w:rPr>
                <w:rFonts w:cs="Calibri"/>
                <w:color w:val="000000"/>
                <w:sz w:val="24"/>
                <w:szCs w:val="24"/>
                <w:lang w:eastAsia="fr-FR"/>
              </w:rPr>
              <w:t xml:space="preserve">Les soumissions reçues après la date du </w:t>
            </w:r>
            <w:r w:rsidR="00956747">
              <w:rPr>
                <w:rFonts w:cs="Calibri"/>
                <w:color w:val="000000"/>
                <w:sz w:val="24"/>
                <w:szCs w:val="24"/>
                <w:lang w:eastAsia="fr-FR"/>
              </w:rPr>
              <w:t>03</w:t>
            </w:r>
            <w:r w:rsidR="00520CF2">
              <w:rPr>
                <w:rFonts w:cs="Calibri"/>
                <w:color w:val="000000"/>
                <w:sz w:val="24"/>
                <w:szCs w:val="24"/>
                <w:lang w:eastAsia="fr-FR"/>
              </w:rPr>
              <w:t xml:space="preserve"> </w:t>
            </w:r>
            <w:r w:rsidR="00956747">
              <w:rPr>
                <w:rFonts w:cs="Calibri"/>
                <w:color w:val="000000"/>
                <w:sz w:val="24"/>
                <w:szCs w:val="24"/>
                <w:lang w:eastAsia="fr-FR"/>
              </w:rPr>
              <w:t>Avril</w:t>
            </w:r>
            <w:r w:rsidR="00520CF2">
              <w:rPr>
                <w:rFonts w:cs="Calibri"/>
                <w:color w:val="000000"/>
                <w:sz w:val="24"/>
                <w:szCs w:val="24"/>
                <w:lang w:eastAsia="fr-FR"/>
              </w:rPr>
              <w:t xml:space="preserve"> 2023</w:t>
            </w:r>
            <w:r w:rsidRPr="004A093A">
              <w:rPr>
                <w:rFonts w:cs="Calibri"/>
                <w:color w:val="000000"/>
                <w:sz w:val="24"/>
                <w:szCs w:val="24"/>
                <w:lang w:eastAsia="fr-FR"/>
              </w:rPr>
              <w:t xml:space="preserve"> ne seront pas prises en compte</w:t>
            </w:r>
          </w:p>
        </w:tc>
      </w:tr>
    </w:tbl>
    <w:p w:rsidR="000B5199" w:rsidRPr="006A5478" w:rsidRDefault="000B5199">
      <w:pPr>
        <w:spacing w:before="240" w:line="276" w:lineRule="auto"/>
        <w:rPr>
          <w:rFonts w:ascii="Calibri" w:eastAsia="Calibri" w:hAnsi="Calibri" w:cs="Calibri"/>
          <w:b/>
          <w:color w:val="244061"/>
          <w:lang w:val="fr-FR"/>
        </w:rPr>
      </w:pPr>
    </w:p>
    <w:p w:rsidR="000B5199" w:rsidRPr="006A5478" w:rsidRDefault="00080EC4">
      <w:pPr>
        <w:spacing w:before="240" w:after="240" w:line="276" w:lineRule="auto"/>
        <w:rPr>
          <w:rFonts w:ascii="Calibri" w:eastAsia="Calibri" w:hAnsi="Calibri" w:cs="Calibri"/>
          <w:b/>
          <w:color w:val="244061"/>
          <w:lang w:val="fr-FR"/>
        </w:rPr>
      </w:pPr>
      <w:r w:rsidRPr="006A5478">
        <w:rPr>
          <w:rFonts w:ascii="Calibri" w:eastAsia="Calibri" w:hAnsi="Calibri" w:cs="Calibri"/>
          <w:b/>
          <w:color w:val="244061"/>
          <w:lang w:val="fr-FR"/>
        </w:rPr>
        <w:t xml:space="preserve"> </w:t>
      </w:r>
    </w:p>
    <w:p w:rsidR="000B5199" w:rsidRPr="006A5478" w:rsidRDefault="00080EC4">
      <w:pPr>
        <w:spacing w:before="240" w:after="240" w:line="276" w:lineRule="auto"/>
        <w:rPr>
          <w:rFonts w:ascii="Calibri" w:eastAsia="Calibri" w:hAnsi="Calibri" w:cs="Calibri"/>
          <w:sz w:val="22"/>
          <w:szCs w:val="22"/>
          <w:lang w:val="fr-FR"/>
        </w:rPr>
      </w:pPr>
      <w:r w:rsidRPr="006A5478">
        <w:rPr>
          <w:rFonts w:ascii="Calibri" w:eastAsia="Calibri" w:hAnsi="Calibri" w:cs="Calibri"/>
          <w:sz w:val="22"/>
          <w:szCs w:val="22"/>
          <w:lang w:val="fr-FR"/>
        </w:rPr>
        <w:t xml:space="preserve"> </w:t>
      </w:r>
    </w:p>
    <w:p w:rsidR="000B5199" w:rsidRPr="006A5478" w:rsidRDefault="000B5199">
      <w:pPr>
        <w:pBdr>
          <w:top w:val="nil"/>
          <w:left w:val="nil"/>
          <w:bottom w:val="nil"/>
          <w:right w:val="nil"/>
          <w:between w:val="nil"/>
        </w:pBdr>
        <w:spacing w:after="160"/>
        <w:rPr>
          <w:rFonts w:ascii="Calibri" w:eastAsia="Calibri" w:hAnsi="Calibri" w:cs="Calibri"/>
          <w:b/>
          <w:color w:val="1F497D"/>
          <w:sz w:val="32"/>
          <w:szCs w:val="32"/>
          <w:lang w:val="fr-FR"/>
        </w:rPr>
      </w:pPr>
    </w:p>
    <w:p w:rsidR="000B5199" w:rsidRPr="006A5478" w:rsidRDefault="000B5199">
      <w:pPr>
        <w:pBdr>
          <w:top w:val="nil"/>
          <w:left w:val="nil"/>
          <w:bottom w:val="nil"/>
          <w:right w:val="nil"/>
          <w:between w:val="nil"/>
        </w:pBdr>
        <w:spacing w:after="160"/>
        <w:rPr>
          <w:rFonts w:ascii="Calibri" w:eastAsia="Calibri" w:hAnsi="Calibri" w:cs="Calibri"/>
          <w:color w:val="000000"/>
          <w:sz w:val="22"/>
          <w:szCs w:val="22"/>
          <w:lang w:val="fr-FR"/>
        </w:rPr>
      </w:pPr>
    </w:p>
    <w:sectPr w:rsidR="000B5199" w:rsidRPr="006A5478">
      <w:headerReference w:type="default" r:id="rId9"/>
      <w:footerReference w:type="default" r:id="rId10"/>
      <w:pgSz w:w="11900" w:h="16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59C" w:rsidRDefault="008B659C">
      <w:r>
        <w:separator/>
      </w:r>
    </w:p>
  </w:endnote>
  <w:endnote w:type="continuationSeparator" w:id="0">
    <w:p w:rsidR="008B659C" w:rsidRDefault="008B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199" w:rsidRDefault="000B519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59C" w:rsidRDefault="008B659C">
      <w:r>
        <w:separator/>
      </w:r>
    </w:p>
  </w:footnote>
  <w:footnote w:type="continuationSeparator" w:id="0">
    <w:p w:rsidR="008B659C" w:rsidRDefault="008B65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199" w:rsidRDefault="00080EC4">
    <w:pPr>
      <w:pBdr>
        <w:top w:val="nil"/>
        <w:left w:val="nil"/>
        <w:bottom w:val="nil"/>
        <w:right w:val="nil"/>
        <w:between w:val="nil"/>
      </w:pBdr>
      <w:tabs>
        <w:tab w:val="center" w:pos="4513"/>
        <w:tab w:val="right" w:pos="9026"/>
        <w:tab w:val="right" w:pos="9000"/>
      </w:tabs>
      <w:rPr>
        <w:rFonts w:ascii="Calibri" w:eastAsia="Calibri" w:hAnsi="Calibri" w:cs="Calibri"/>
        <w:color w:val="000000"/>
        <w:sz w:val="22"/>
        <w:szCs w:val="22"/>
      </w:rPr>
    </w:pPr>
    <w:r>
      <w:rPr>
        <w:rFonts w:ascii="Calibri" w:eastAsia="Calibri" w:hAnsi="Calibri" w:cs="Calibri"/>
        <w:noProof/>
        <w:color w:val="000000"/>
        <w:sz w:val="22"/>
        <w:szCs w:val="22"/>
        <w:lang w:val="fr-FR" w:eastAsia="fr-FR"/>
      </w:rPr>
      <w:drawing>
        <wp:anchor distT="0" distB="0" distL="0" distR="0" simplePos="0" relativeHeight="251658240" behindDoc="0" locked="0" layoutInCell="1" hidden="0" allowOverlap="1">
          <wp:simplePos x="0" y="0"/>
          <wp:positionH relativeFrom="page">
            <wp:posOffset>895350</wp:posOffset>
          </wp:positionH>
          <wp:positionV relativeFrom="page">
            <wp:posOffset>295275</wp:posOffset>
          </wp:positionV>
          <wp:extent cx="1146810" cy="594360"/>
          <wp:effectExtent l="0" t="0" r="0" b="0"/>
          <wp:wrapSquare wrapText="bothSides" distT="0" distB="0" distL="0" distR="0"/>
          <wp:docPr id="1073741826"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214B"/>
    <w:multiLevelType w:val="multilevel"/>
    <w:tmpl w:val="D07A6D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3A2F40"/>
    <w:multiLevelType w:val="hybridMultilevel"/>
    <w:tmpl w:val="E9E20C9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E2F2172"/>
    <w:multiLevelType w:val="hybridMultilevel"/>
    <w:tmpl w:val="80C0C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3673C"/>
    <w:multiLevelType w:val="hybridMultilevel"/>
    <w:tmpl w:val="66E28CDE"/>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F4B2C33"/>
    <w:multiLevelType w:val="hybridMultilevel"/>
    <w:tmpl w:val="274CEB9E"/>
    <w:lvl w:ilvl="0" w:tplc="525E4FF6">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99"/>
    <w:rsid w:val="00080EC4"/>
    <w:rsid w:val="00084AAE"/>
    <w:rsid w:val="00093B04"/>
    <w:rsid w:val="000B5199"/>
    <w:rsid w:val="00120D81"/>
    <w:rsid w:val="001C7973"/>
    <w:rsid w:val="00207164"/>
    <w:rsid w:val="0021685A"/>
    <w:rsid w:val="00256676"/>
    <w:rsid w:val="00266CFC"/>
    <w:rsid w:val="0035423C"/>
    <w:rsid w:val="0042616D"/>
    <w:rsid w:val="004872A3"/>
    <w:rsid w:val="00516233"/>
    <w:rsid w:val="00520CF2"/>
    <w:rsid w:val="005816FE"/>
    <w:rsid w:val="006A5478"/>
    <w:rsid w:val="006F627C"/>
    <w:rsid w:val="0071736E"/>
    <w:rsid w:val="0073682B"/>
    <w:rsid w:val="007836A7"/>
    <w:rsid w:val="008B659C"/>
    <w:rsid w:val="00956747"/>
    <w:rsid w:val="00BE7EDF"/>
    <w:rsid w:val="00CB0E31"/>
    <w:rsid w:val="00D72599"/>
    <w:rsid w:val="00D91A43"/>
    <w:rsid w:val="00E2201B"/>
    <w:rsid w:val="00E33E2E"/>
    <w:rsid w:val="00E40542"/>
    <w:rsid w:val="00EC3AB5"/>
    <w:rsid w:val="00EE075B"/>
    <w:rsid w:val="00EF6638"/>
    <w:rsid w:val="00F41852"/>
    <w:rsid w:val="00FA292B"/>
    <w:rsid w:val="00FE3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4836"/>
  <w15:docId w15:val="{E6547057-07B3-4A7B-8D86-A730D79B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style>
  <w:style w:type="numbering" w:customStyle="1" w:styleId="ImportedStyle2">
    <w:name w:val="Imported Style 2"/>
  </w:style>
  <w:style w:type="numbering" w:customStyle="1" w:styleId="ImportedStyle3">
    <w:name w:val="Imported Style 3"/>
  </w:style>
  <w:style w:type="paragraph" w:styleId="ListParagraph">
    <w:name w:val="List Paragraph"/>
    <w:aliases w:val="Table/Figure Heading,References,MCHIP_list paragraph,List Paragraph1,Recommendation,Bullet List,FooterText,Bioforce zListePuce"/>
    <w:link w:val="ListParagraphChar"/>
    <w:uiPriority w:val="99"/>
    <w:qFormat/>
    <w:pPr>
      <w:spacing w:after="160" w:line="259" w:lineRule="auto"/>
      <w:ind w:left="720"/>
    </w:pPr>
    <w:rPr>
      <w:rFonts w:ascii="Calibri" w:eastAsia="Calibri" w:hAnsi="Calibri" w:cs="Calibri"/>
      <w:color w:val="000000"/>
      <w:sz w:val="22"/>
      <w:szCs w:val="22"/>
      <w:u w:color="000000"/>
    </w:rPr>
  </w:style>
  <w:style w:type="numbering" w:customStyle="1" w:styleId="ImportedStyle10">
    <w:name w:val="Imported Style 1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rPr>
      <w:rFonts w:ascii="Tahoma" w:hAnsi="Tahoma" w:cs="Tahoma"/>
      <w:sz w:val="16"/>
      <w:szCs w:val="16"/>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D0DDEF"/>
    </w:tcPr>
  </w:style>
  <w:style w:type="character" w:customStyle="1" w:styleId="ListParagraphChar">
    <w:name w:val="List Paragraph Char"/>
    <w:aliases w:val="Table/Figure Heading Char,References Char,MCHIP_list paragraph Char,List Paragraph1 Char,Recommendation Char,Bullet List Char,FooterText Char,Bioforce zListePuce Char"/>
    <w:link w:val="ListParagraph"/>
    <w:uiPriority w:val="99"/>
    <w:locked/>
    <w:rsid w:val="0021685A"/>
    <w:rPr>
      <w:rFonts w:ascii="Calibri" w:eastAsia="Calibri" w:hAnsi="Calibri" w:cs="Calibri"/>
      <w:color w:val="000000"/>
      <w:sz w:val="22"/>
      <w:szCs w:val="22"/>
      <w:u w:color="000000"/>
    </w:rPr>
  </w:style>
  <w:style w:type="table" w:styleId="TableGrid">
    <w:name w:val="Table Grid"/>
    <w:basedOn w:val="TableNormal"/>
    <w:uiPriority w:val="39"/>
    <w:rsid w:val="006A5478"/>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inprocurement@unf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UexSfAtR3mfyYnXN8RjX6k3mLQ==">AMUW2mU4DfGYLuWUo6VGM1azsVy9zSho0vjhATbJx0dnVUsiAW2daq1enCQzeWElWewvbP+Y/TNGOu27/VD0kQmcpGkdPmCY2UUldqnTRfDcXbxe8vu95jw=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1762</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hadiatoulaye.barry</cp:lastModifiedBy>
  <cp:revision>3</cp:revision>
  <dcterms:created xsi:type="dcterms:W3CDTF">2023-03-24T08:57:00Z</dcterms:created>
  <dcterms:modified xsi:type="dcterms:W3CDTF">2023-03-24T09:20:00Z</dcterms:modified>
</cp:coreProperties>
</file>