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A8" w:rsidRDefault="00C42063">
      <w:pPr>
        <w:spacing w:before="240"/>
        <w:jc w:val="center"/>
        <w:rPr>
          <w:rFonts w:eastAsia="Calibri"/>
          <w:b/>
          <w:color w:val="1F497D"/>
          <w:sz w:val="32"/>
          <w:szCs w:val="32"/>
          <w:u w:val="single"/>
          <w:lang w:val="fr-FR"/>
        </w:rPr>
      </w:pPr>
      <w:r>
        <w:rPr>
          <w:rFonts w:eastAsia="Calibri"/>
          <w:b/>
          <w:color w:val="1F497D"/>
          <w:sz w:val="32"/>
          <w:szCs w:val="32"/>
          <w:u w:val="single"/>
          <w:lang w:val="fr-FR"/>
        </w:rPr>
        <w:t>Termes de Référence</w:t>
      </w:r>
    </w:p>
    <w:p w:rsidR="00C948A8" w:rsidRDefault="00C42063">
      <w:pPr>
        <w:spacing w:before="120"/>
        <w:ind w:right="-7"/>
        <w:rPr>
          <w:color w:val="000000"/>
          <w:lang w:val="fr-FR"/>
        </w:rPr>
      </w:pPr>
      <w:r>
        <w:rPr>
          <w:rFonts w:eastAsia="Calibri"/>
          <w:b/>
          <w:color w:val="244061"/>
          <w:lang w:val="fr-FR"/>
        </w:rPr>
        <w:t xml:space="preserve">Titre du Poste :    </w:t>
      </w:r>
      <w:r>
        <w:rPr>
          <w:rFonts w:eastAsia="Calibri"/>
          <w:color w:val="244061"/>
          <w:lang w:val="fr-FR"/>
        </w:rPr>
        <w:t xml:space="preserve">Consultant National pour </w:t>
      </w:r>
      <w:r>
        <w:rPr>
          <w:color w:val="000000"/>
          <w:lang w:val="fr-FR"/>
        </w:rPr>
        <w:t>appuyer la revue du Plan de Sécurisation de Produits de Santé de la Reproduction (SPSR) 2017_2022 et l’élaboration d’un nouveau plan pour 2024-2028.</w:t>
      </w:r>
    </w:p>
    <w:p w:rsidR="00C948A8" w:rsidRDefault="00C42063">
      <w:pPr>
        <w:spacing w:before="240"/>
        <w:rPr>
          <w:rFonts w:eastAsia="Calibri"/>
          <w:b/>
          <w:color w:val="244061"/>
          <w:lang w:val="fr-FR"/>
        </w:rPr>
      </w:pPr>
      <w:r>
        <w:rPr>
          <w:rFonts w:eastAsia="Calibri"/>
          <w:b/>
          <w:color w:val="244061"/>
          <w:lang w:val="fr-FR"/>
        </w:rPr>
        <w:t xml:space="preserve">Type de Contrat :   </w:t>
      </w:r>
      <w:r>
        <w:rPr>
          <w:color w:val="000000"/>
          <w:lang w:val="fr-FR"/>
        </w:rPr>
        <w:t xml:space="preserve">Consultance </w:t>
      </w:r>
      <w:r>
        <w:rPr>
          <w:b/>
          <w:color w:val="000000"/>
          <w:lang w:val="fr-FR"/>
        </w:rPr>
        <w:t xml:space="preserve">   </w:t>
      </w:r>
      <w:r>
        <w:rPr>
          <w:color w:val="000000"/>
          <w:lang w:val="fr-FR"/>
        </w:rPr>
        <w:t xml:space="preserve">    </w:t>
      </w:r>
      <w:r>
        <w:rPr>
          <w:rFonts w:eastAsia="Calibri"/>
          <w:b/>
          <w:color w:val="244061"/>
          <w:lang w:val="fr-FR"/>
        </w:rPr>
        <w:t xml:space="preserve">     </w:t>
      </w:r>
      <w:r>
        <w:rPr>
          <w:rFonts w:eastAsia="Calibri"/>
          <w:b/>
          <w:color w:val="244061"/>
          <w:lang w:val="fr-FR"/>
        </w:rPr>
        <w:tab/>
        <w:t xml:space="preserve">        </w:t>
      </w:r>
      <w:r>
        <w:rPr>
          <w:rFonts w:eastAsia="Calibri"/>
          <w:b/>
          <w:color w:val="244061"/>
          <w:lang w:val="fr-FR"/>
        </w:rPr>
        <w:tab/>
        <w:t xml:space="preserve">                         </w:t>
      </w:r>
      <w:r>
        <w:rPr>
          <w:rFonts w:eastAsia="Calibri"/>
          <w:b/>
          <w:color w:val="244061"/>
          <w:lang w:val="fr-FR"/>
        </w:rPr>
        <w:tab/>
        <w:t xml:space="preserve"> </w:t>
      </w:r>
    </w:p>
    <w:p w:rsidR="00C948A8" w:rsidRDefault="00C42063">
      <w:pPr>
        <w:spacing w:before="240" w:after="240"/>
        <w:rPr>
          <w:color w:val="000000"/>
          <w:lang w:val="fr-FR"/>
        </w:rPr>
      </w:pPr>
      <w:r>
        <w:rPr>
          <w:rFonts w:eastAsia="Calibri"/>
          <w:b/>
          <w:color w:val="244061"/>
          <w:lang w:val="fr-FR"/>
        </w:rPr>
        <w:t>Date limite de dépôt des dossiers :      0</w:t>
      </w:r>
      <w:r>
        <w:rPr>
          <w:color w:val="000000"/>
          <w:lang w:val="fr-FR"/>
        </w:rPr>
        <w:t>2 octobre 2023</w:t>
      </w:r>
    </w:p>
    <w:p w:rsidR="00C948A8" w:rsidRDefault="00C42063">
      <w:pPr>
        <w:spacing w:before="240" w:after="240"/>
        <w:rPr>
          <w:rFonts w:eastAsia="Calibri"/>
          <w:b/>
          <w:color w:val="244061"/>
          <w:lang w:val="fr-FR"/>
        </w:rPr>
      </w:pPr>
      <w:r>
        <w:rPr>
          <w:rFonts w:eastAsia="Calibri"/>
          <w:b/>
          <w:color w:val="244061"/>
          <w:lang w:val="fr-FR"/>
        </w:rPr>
        <w:t xml:space="preserve">Lieux d’affectation </w:t>
      </w:r>
      <w:r>
        <w:rPr>
          <w:rFonts w:eastAsia="Calibri"/>
          <w:color w:val="244061"/>
          <w:lang w:val="fr-FR"/>
        </w:rPr>
        <w:t xml:space="preserve">:      </w:t>
      </w:r>
      <w:r>
        <w:rPr>
          <w:color w:val="000000"/>
          <w:lang w:val="fr-FR"/>
        </w:rPr>
        <w:t>Guinée Conakry</w:t>
      </w:r>
      <w:r>
        <w:rPr>
          <w:color w:val="000000"/>
          <w:lang w:val="fr-FR"/>
        </w:rPr>
        <w:tab/>
      </w:r>
    </w:p>
    <w:p w:rsidR="00C948A8" w:rsidRDefault="00C42063">
      <w:pPr>
        <w:spacing w:before="240" w:after="240"/>
        <w:rPr>
          <w:color w:val="000000"/>
          <w:lang w:val="fr-FR"/>
        </w:rPr>
      </w:pPr>
      <w:r>
        <w:rPr>
          <w:rFonts w:eastAsia="Calibri"/>
          <w:b/>
          <w:color w:val="244061"/>
          <w:lang w:val="fr-FR"/>
        </w:rPr>
        <w:t xml:space="preserve">Durée : </w:t>
      </w:r>
      <w:r>
        <w:rPr>
          <w:b/>
          <w:color w:val="000000"/>
          <w:lang w:val="fr-FR"/>
        </w:rPr>
        <w:t>Cette consultation se fera sur une période de 10 jours ouvrables qui pourra être revue à la signature du contrat suivant la disponibilité budgétaire</w:t>
      </w:r>
    </w:p>
    <w:p w:rsidR="00C948A8" w:rsidRDefault="00C42063">
      <w:pPr>
        <w:spacing w:before="240" w:after="240"/>
        <w:rPr>
          <w:rFonts w:eastAsia="Calibri"/>
          <w:b/>
          <w:color w:val="244061"/>
          <w:lang w:val="fr-FR"/>
        </w:rPr>
      </w:pPr>
      <w:r>
        <w:rPr>
          <w:rFonts w:eastAsia="Calibri"/>
          <w:b/>
          <w:color w:val="244061"/>
          <w:lang w:val="fr-FR"/>
        </w:rPr>
        <w:t>Supervision des Postes :</w:t>
      </w:r>
    </w:p>
    <w:p w:rsidR="00C948A8" w:rsidRDefault="00C42063">
      <w:pPr>
        <w:spacing w:before="240" w:after="240"/>
        <w:jc w:val="both"/>
        <w:rPr>
          <w:color w:val="000000"/>
          <w:lang w:val="fr-FR"/>
        </w:rPr>
      </w:pPr>
      <w:r>
        <w:rPr>
          <w:color w:val="000000"/>
          <w:lang w:val="fr-FR"/>
        </w:rPr>
        <w:t>Le consultant national sera sous la conduite générale du Représentant de l’UNFPA en Guinée, l’orientation stratégique de la Représentante Adjointe de l’UNFPA, sous la supervision directe du Conseiller technique SPSR en collaboration avec le Chargé de Programme en Santé de la Reproduction.</w:t>
      </w:r>
    </w:p>
    <w:p w:rsidR="00C948A8" w:rsidRDefault="00347F3E">
      <w:pPr>
        <w:spacing w:before="240" w:after="240"/>
        <w:rPr>
          <w:rFonts w:eastAsia="Calibri"/>
          <w:b/>
          <w:color w:val="244061"/>
          <w:lang w:val="fr-FR"/>
        </w:rPr>
      </w:pPr>
      <w:r>
        <w:rPr>
          <w:rFonts w:eastAsia="Calibri"/>
          <w:b/>
          <w:color w:val="244061"/>
          <w:lang w:val="fr-FR"/>
        </w:rPr>
        <w:t>Contexte :</w:t>
      </w:r>
    </w:p>
    <w:p w:rsidR="00C948A8" w:rsidRDefault="00C42063">
      <w:pPr>
        <w:jc w:val="both"/>
        <w:rPr>
          <w:lang w:val="fr-FR"/>
        </w:rPr>
      </w:pPr>
      <w:r>
        <w:rPr>
          <w:lang w:val="fr-FR"/>
        </w:rPr>
        <w:t xml:space="preserve">Les indicateurs sociodémographiques de la Guinée traduisent une situation économique et sanitaire préoccupante en particulier dans le domaine de la santé de la reproduction. Face à cette situation le Gouvernement met en œuvre une stratégie de réduction de la Pauvreté et un Plan National de Développement Sanitaire. Dans ce cadre, il s’est engagé à travers les programmes de SR et de VIH/SIDA à assurer une disponibilité des produits de SR en adéquation avec la demande. </w:t>
      </w:r>
    </w:p>
    <w:p w:rsidR="00C948A8" w:rsidRDefault="00C42063">
      <w:pPr>
        <w:jc w:val="both"/>
        <w:rPr>
          <w:lang w:val="fr-FR"/>
        </w:rPr>
      </w:pPr>
      <w:r>
        <w:rPr>
          <w:lang w:val="fr-FR"/>
        </w:rPr>
        <w:t>Depuis 2004, le Ministère de la Santé a initié des programmes pour la sécurisation des produits SR.</w:t>
      </w:r>
    </w:p>
    <w:p w:rsidR="00C948A8" w:rsidRDefault="00C42063">
      <w:pPr>
        <w:jc w:val="both"/>
        <w:rPr>
          <w:lang w:val="fr-FR"/>
        </w:rPr>
      </w:pPr>
      <w:r>
        <w:rPr>
          <w:lang w:val="fr-FR"/>
        </w:rPr>
        <w:t xml:space="preserve">Ces </w:t>
      </w:r>
      <w:r w:rsidR="00347F3E">
        <w:rPr>
          <w:lang w:val="fr-FR"/>
        </w:rPr>
        <w:t>programmes s’intègrent dans</w:t>
      </w:r>
      <w:r>
        <w:rPr>
          <w:lang w:val="fr-FR"/>
        </w:rPr>
        <w:t xml:space="preserve"> les efforts du Gouvernement dans l’atteinte des Objectifs du Millénaire pour le Développement à travers la lutte contre la mortalité maternelle, néo-natale et infanto-juvénile, ainsi que la lutte contre les IST/VIH/SIDA. </w:t>
      </w:r>
    </w:p>
    <w:p w:rsidR="00C948A8" w:rsidRDefault="00C42063">
      <w:pPr>
        <w:jc w:val="both"/>
        <w:rPr>
          <w:lang w:val="fr-FR"/>
        </w:rPr>
      </w:pPr>
      <w:r>
        <w:rPr>
          <w:lang w:val="fr-FR"/>
        </w:rPr>
        <w:t xml:space="preserve"> </w:t>
      </w:r>
      <w:r w:rsidR="00347F3E">
        <w:rPr>
          <w:lang w:val="fr-FR"/>
        </w:rPr>
        <w:t>Le plan</w:t>
      </w:r>
      <w:r>
        <w:rPr>
          <w:lang w:val="fr-FR"/>
        </w:rPr>
        <w:t xml:space="preserve"> stratégique de sécurisation des produits SR 2017 à 2022 a pris fin, il est ainsi prévu l'élaboration d’un nouveau plan stratégique de sécurisation des produits SR 2024 -2028 en se basant sur les conclusions de l'évaluation du plan qui vient de </w:t>
      </w:r>
      <w:r w:rsidR="00347F3E">
        <w:rPr>
          <w:lang w:val="fr-FR"/>
        </w:rPr>
        <w:t>venir.</w:t>
      </w:r>
    </w:p>
    <w:p w:rsidR="00C948A8" w:rsidRDefault="00C42063">
      <w:pPr>
        <w:jc w:val="both"/>
        <w:rPr>
          <w:lang w:val="fr-FR"/>
        </w:rPr>
      </w:pPr>
      <w:r>
        <w:rPr>
          <w:lang w:val="fr-FR"/>
        </w:rPr>
        <w:t>Le but de cette stratégie est de garantir, d’ici 2028, à chaque personne la possibilité de choisir et/ou obtenir, et utiliser les produits de santé de la reproduction de qualité, à un coût abordable, chaque fois qu’elle en a besoin. Ceci se fera à travers l’amélioration de l’environnement politique et règlementaire favorable à la sécurisation des produits SR et le renforcement de la coordination entre l’Etat, les partenaires, le secteur privé et les communautés, ainsi que l’engagement de toutes les parties prenantes. Il s’agit également d’amener l’Etat et le secteur privé à concrétiser leurs engagements, de renforcer la disponibilité et l’accessibilité des produits SR de qualité, ainsi que la demande et l’utilisation des produits et services. Le renforcement du système de gestion logistique ainsi que le suivi et l’évaluation des activités seront également des domaines essentiels pour la sécurisation des produits SR en Guinée.</w:t>
      </w:r>
    </w:p>
    <w:p w:rsidR="00C948A8" w:rsidRDefault="00C42063">
      <w:pPr>
        <w:spacing w:after="208"/>
        <w:ind w:left="9" w:hanging="10"/>
        <w:rPr>
          <w:lang w:val="fr-FR"/>
        </w:rPr>
      </w:pPr>
      <w:r>
        <w:rPr>
          <w:lang w:val="fr-FR"/>
        </w:rPr>
        <w:t>Cinq</w:t>
      </w:r>
      <w:r w:rsidRPr="00775FE0">
        <w:rPr>
          <w:lang w:val="fr-FR"/>
        </w:rPr>
        <w:t xml:space="preserve"> ans après sa mise en œuvre, il parait nécessaire d’apprécier le chemin parcouru, les difficultés rencontrées et les approches de solutions et </w:t>
      </w:r>
      <w:r>
        <w:rPr>
          <w:lang w:val="fr-FR"/>
        </w:rPr>
        <w:t>formuler des recommandations pour l’élaboration du nouveau plan.</w:t>
      </w:r>
    </w:p>
    <w:p w:rsidR="00C948A8" w:rsidRPr="00775FE0" w:rsidRDefault="00C42063">
      <w:pPr>
        <w:spacing w:after="208"/>
        <w:ind w:left="9" w:hanging="10"/>
        <w:rPr>
          <w:lang w:val="fr-FR"/>
        </w:rPr>
      </w:pPr>
      <w:r w:rsidRPr="00775FE0">
        <w:rPr>
          <w:lang w:val="fr-FR"/>
        </w:rPr>
        <w:t xml:space="preserve">C’est dans ce cadre que le Ministère de la Santé à travers la Direction Nationale de la Santé Familiale et de la </w:t>
      </w:r>
      <w:r w:rsidR="00347F3E" w:rsidRPr="00775FE0">
        <w:rPr>
          <w:lang w:val="fr-FR"/>
        </w:rPr>
        <w:t>Nutrition (</w:t>
      </w:r>
      <w:r w:rsidRPr="00775FE0">
        <w:rPr>
          <w:lang w:val="fr-FR"/>
        </w:rPr>
        <w:t xml:space="preserve">DNSFN) sollicite </w:t>
      </w:r>
      <w:r w:rsidR="00347F3E" w:rsidRPr="00775FE0">
        <w:rPr>
          <w:lang w:val="fr-FR"/>
        </w:rPr>
        <w:t>l’appui technique</w:t>
      </w:r>
      <w:r w:rsidRPr="00775FE0">
        <w:rPr>
          <w:lang w:val="fr-FR"/>
        </w:rPr>
        <w:t xml:space="preserve"> et financiers</w:t>
      </w:r>
      <w:r>
        <w:rPr>
          <w:lang w:val="fr-FR"/>
        </w:rPr>
        <w:t xml:space="preserve"> de UNFPA pour la mise en oeuvre de ce processus</w:t>
      </w:r>
      <w:r w:rsidRPr="00775FE0">
        <w:rPr>
          <w:lang w:val="fr-FR"/>
        </w:rPr>
        <w:t xml:space="preserve">.  </w:t>
      </w:r>
    </w:p>
    <w:p w:rsidR="00C948A8" w:rsidRDefault="00C42063">
      <w:pPr>
        <w:spacing w:before="240" w:after="240"/>
        <w:jc w:val="both"/>
        <w:rPr>
          <w:rFonts w:eastAsia="Calibri"/>
          <w:b/>
          <w:color w:val="244061"/>
          <w:lang w:val="fr-FR"/>
        </w:rPr>
      </w:pPr>
      <w:r>
        <w:rPr>
          <w:rFonts w:eastAsia="Calibri"/>
          <w:b/>
          <w:color w:val="244061"/>
          <w:lang w:val="fr-FR"/>
        </w:rPr>
        <w:t>Objectifs :</w:t>
      </w:r>
    </w:p>
    <w:p w:rsidR="00C948A8" w:rsidRPr="00775FE0" w:rsidRDefault="00C42063">
      <w:pPr>
        <w:ind w:left="5" w:hanging="10"/>
        <w:rPr>
          <w:lang w:val="fr-FR"/>
        </w:rPr>
      </w:pPr>
      <w:r w:rsidRPr="00775FE0">
        <w:rPr>
          <w:b/>
          <w:lang w:val="fr-FR"/>
        </w:rPr>
        <w:lastRenderedPageBreak/>
        <w:t xml:space="preserve">Objectif général </w:t>
      </w:r>
      <w:r w:rsidRPr="00775FE0">
        <w:rPr>
          <w:lang w:val="fr-FR"/>
        </w:rPr>
        <w:t xml:space="preserve"> </w:t>
      </w:r>
    </w:p>
    <w:p w:rsidR="00C948A8" w:rsidRPr="00775FE0" w:rsidRDefault="00C42063">
      <w:pPr>
        <w:spacing w:after="100"/>
        <w:ind w:left="14"/>
        <w:rPr>
          <w:lang w:val="fr-FR"/>
        </w:rPr>
      </w:pPr>
      <w:r w:rsidRPr="00775FE0">
        <w:rPr>
          <w:lang w:val="fr-FR"/>
        </w:rPr>
        <w:t xml:space="preserve"> </w:t>
      </w:r>
    </w:p>
    <w:p w:rsidR="00C948A8" w:rsidRDefault="00C42063">
      <w:pPr>
        <w:jc w:val="both"/>
        <w:rPr>
          <w:lang w:val="fr-FR"/>
        </w:rPr>
      </w:pPr>
      <w:r>
        <w:rPr>
          <w:color w:val="333333"/>
          <w:lang w:val="fr-FR"/>
        </w:rPr>
        <w:t>Elaborer le nouveau plan 2024-2028</w:t>
      </w:r>
      <w:r w:rsidRPr="00775FE0">
        <w:rPr>
          <w:lang w:val="fr-FR"/>
        </w:rPr>
        <w:t xml:space="preserve"> </w:t>
      </w:r>
      <w:r>
        <w:rPr>
          <w:lang w:val="fr-FR"/>
        </w:rPr>
        <w:t>suivant les sept composantes et en se basant sur les recommandations de l’évaluation</w:t>
      </w:r>
    </w:p>
    <w:p w:rsidR="00C948A8" w:rsidRPr="00775FE0" w:rsidRDefault="00C948A8">
      <w:pPr>
        <w:ind w:left="5" w:hanging="10"/>
        <w:rPr>
          <w:rFonts w:eastAsia="Calibri"/>
          <w:b/>
          <w:lang w:val="fr-FR"/>
        </w:rPr>
      </w:pPr>
    </w:p>
    <w:p w:rsidR="00C948A8" w:rsidRPr="00775FE0" w:rsidRDefault="00C42063">
      <w:pPr>
        <w:ind w:left="5" w:hanging="10"/>
        <w:rPr>
          <w:rFonts w:eastAsia="Calibri"/>
          <w:b/>
          <w:lang w:val="fr-FR"/>
        </w:rPr>
      </w:pPr>
      <w:r w:rsidRPr="00775FE0">
        <w:rPr>
          <w:rFonts w:eastAsia="Calibri"/>
          <w:b/>
          <w:lang w:val="fr-FR"/>
        </w:rPr>
        <w:t xml:space="preserve">Objectifs spécifiques  </w:t>
      </w:r>
    </w:p>
    <w:p w:rsidR="00C948A8" w:rsidRPr="00775FE0" w:rsidRDefault="00C948A8">
      <w:pPr>
        <w:ind w:left="5" w:hanging="10"/>
        <w:rPr>
          <w:rFonts w:eastAsia="Calibri"/>
          <w:b/>
          <w:lang w:val="fr-FR"/>
        </w:rPr>
      </w:pPr>
    </w:p>
    <w:p w:rsidR="00C948A8" w:rsidRDefault="00C42063">
      <w:pPr>
        <w:spacing w:after="208"/>
        <w:ind w:left="9" w:hanging="10"/>
        <w:rPr>
          <w:rFonts w:eastAsia="Calibri"/>
          <w:lang w:val="fr-FR"/>
        </w:rPr>
      </w:pPr>
      <w:r>
        <w:rPr>
          <w:lang w:val="fr-FR"/>
        </w:rPr>
        <w:t>S</w:t>
      </w:r>
      <w:r>
        <w:rPr>
          <w:rFonts w:eastAsia="Calibri"/>
          <w:lang w:val="fr-FR"/>
        </w:rPr>
        <w:t>uivant les 7 composantes de la sécurisation des produits SR :</w:t>
      </w:r>
    </w:p>
    <w:p w:rsidR="00C948A8" w:rsidRDefault="00C42063">
      <w:pPr>
        <w:numPr>
          <w:ilvl w:val="0"/>
          <w:numId w:val="1"/>
        </w:numPr>
        <w:jc w:val="both"/>
        <w:rPr>
          <w:color w:val="333333"/>
          <w:lang w:val="fr-FR"/>
        </w:rPr>
      </w:pPr>
      <w:r>
        <w:rPr>
          <w:color w:val="333333"/>
          <w:lang w:val="fr-FR"/>
        </w:rPr>
        <w:t>P</w:t>
      </w:r>
      <w:r w:rsidRPr="00775FE0">
        <w:rPr>
          <w:color w:val="333333"/>
          <w:lang w:val="fr-FR"/>
        </w:rPr>
        <w:t>rocéder à une revue</w:t>
      </w:r>
      <w:r>
        <w:rPr>
          <w:color w:val="333333"/>
          <w:lang w:val="fr-FR"/>
        </w:rPr>
        <w:t xml:space="preserve"> d</w:t>
      </w:r>
      <w:r w:rsidRPr="00775FE0">
        <w:rPr>
          <w:color w:val="333333"/>
          <w:lang w:val="fr-FR"/>
        </w:rPr>
        <w:t>e l’état de mise en œuvre du</w:t>
      </w:r>
      <w:r>
        <w:rPr>
          <w:color w:val="333333"/>
          <w:lang w:val="fr-FR"/>
        </w:rPr>
        <w:t xml:space="preserve"> plan SPSR 2017-2022</w:t>
      </w:r>
    </w:p>
    <w:p w:rsidR="00C948A8" w:rsidRDefault="00C42063">
      <w:pPr>
        <w:numPr>
          <w:ilvl w:val="0"/>
          <w:numId w:val="1"/>
        </w:numPr>
        <w:jc w:val="both"/>
        <w:rPr>
          <w:rFonts w:eastAsia="Calibri"/>
          <w:lang w:val="fr-FR"/>
        </w:rPr>
      </w:pPr>
      <w:r>
        <w:rPr>
          <w:rFonts w:eastAsia="Calibri"/>
          <w:lang w:val="fr-FR"/>
        </w:rPr>
        <w:t>Formuler des recommandations pertinentes à prendre en compte pour le nouveau plan 2024-2028.</w:t>
      </w:r>
    </w:p>
    <w:p w:rsidR="00C948A8" w:rsidRDefault="00C42063">
      <w:pPr>
        <w:numPr>
          <w:ilvl w:val="0"/>
          <w:numId w:val="1"/>
        </w:numPr>
        <w:jc w:val="both"/>
        <w:rPr>
          <w:rFonts w:eastAsia="Calibri"/>
          <w:lang w:val="fr-FR"/>
        </w:rPr>
      </w:pPr>
      <w:r>
        <w:rPr>
          <w:rFonts w:eastAsia="Calibri"/>
          <w:lang w:val="fr-FR"/>
        </w:rPr>
        <w:t>Elaborer le nouveau plan SPSR 2024-2028 sur la base des recommandations de l’évaluation</w:t>
      </w:r>
    </w:p>
    <w:p w:rsidR="00C948A8" w:rsidRDefault="00C42063">
      <w:pPr>
        <w:spacing w:before="240" w:after="240"/>
        <w:rPr>
          <w:rFonts w:eastAsia="Calibri"/>
          <w:b/>
          <w:color w:val="244061"/>
          <w:lang w:val="fr-FR"/>
        </w:rPr>
      </w:pPr>
      <w:r>
        <w:rPr>
          <w:rFonts w:eastAsia="Calibri"/>
          <w:b/>
          <w:color w:val="244061"/>
          <w:lang w:val="fr-FR"/>
        </w:rPr>
        <w:t>A. Résultats Clés</w:t>
      </w:r>
    </w:p>
    <w:p w:rsidR="00C948A8" w:rsidRDefault="00C42063">
      <w:pPr>
        <w:rPr>
          <w:color w:val="000000"/>
          <w:lang w:val="fr-FR"/>
        </w:rPr>
      </w:pPr>
      <w:r>
        <w:rPr>
          <w:color w:val="000000"/>
          <w:lang w:val="fr-FR"/>
        </w:rPr>
        <w:t xml:space="preserve">Les résultats et livrables attendus de cette mission sont : </w:t>
      </w:r>
    </w:p>
    <w:p w:rsidR="00C948A8" w:rsidRDefault="00C948A8">
      <w:pPr>
        <w:rPr>
          <w:color w:val="000000"/>
          <w:lang w:val="fr-FR"/>
        </w:rPr>
      </w:pPr>
    </w:p>
    <w:p w:rsidR="00C948A8" w:rsidRDefault="00347F3E">
      <w:pPr>
        <w:numPr>
          <w:ilvl w:val="0"/>
          <w:numId w:val="2"/>
        </w:numPr>
        <w:spacing w:after="208"/>
        <w:rPr>
          <w:rFonts w:eastAsia="Calibri"/>
          <w:lang w:val="fr-FR"/>
        </w:rPr>
      </w:pPr>
      <w:r>
        <w:rPr>
          <w:rFonts w:eastAsia="Calibri"/>
          <w:lang w:val="fr-FR"/>
        </w:rPr>
        <w:t>Un rapport</w:t>
      </w:r>
      <w:r w:rsidR="00C42063">
        <w:rPr>
          <w:rFonts w:eastAsia="Calibri"/>
          <w:lang w:val="fr-FR"/>
        </w:rPr>
        <w:t xml:space="preserve"> d’évaluation avec recommandations est disponible</w:t>
      </w:r>
    </w:p>
    <w:p w:rsidR="00C948A8" w:rsidRDefault="00C42063">
      <w:pPr>
        <w:numPr>
          <w:ilvl w:val="0"/>
          <w:numId w:val="2"/>
        </w:numPr>
        <w:spacing w:after="208"/>
        <w:rPr>
          <w:rFonts w:eastAsia="Calibri"/>
          <w:lang w:val="fr-FR"/>
        </w:rPr>
      </w:pPr>
      <w:r>
        <w:rPr>
          <w:rFonts w:eastAsia="Calibri"/>
          <w:lang w:val="fr-FR"/>
        </w:rPr>
        <w:t>Un plan stratégique pour la sécurisation des produits SR 2024-2028 est produit et est validé par les parties prenantes</w:t>
      </w:r>
    </w:p>
    <w:p w:rsidR="00C948A8" w:rsidRDefault="00C948A8">
      <w:pPr>
        <w:tabs>
          <w:tab w:val="left" w:pos="-720"/>
        </w:tabs>
        <w:suppressAutoHyphens/>
        <w:spacing w:before="40" w:after="54"/>
        <w:rPr>
          <w:lang w:val="fr-FR"/>
        </w:rPr>
      </w:pPr>
    </w:p>
    <w:p w:rsidR="00C948A8" w:rsidRDefault="00C42063">
      <w:pPr>
        <w:jc w:val="both"/>
        <w:rPr>
          <w:color w:val="000000"/>
          <w:lang w:val="fr-FR"/>
        </w:rPr>
      </w:pPr>
      <w:r>
        <w:rPr>
          <w:color w:val="000000"/>
          <w:lang w:val="fr-FR"/>
        </w:rPr>
        <w:t>Le/la Consultant(e) devra fournir dans les délais impartis, les livrables ci-dessus. Il est à noter que tous les livrables seront fournis en version électronique (Word/Excel, Powerpoint) et au format papier.</w:t>
      </w:r>
    </w:p>
    <w:p w:rsidR="00C948A8" w:rsidRDefault="00C948A8">
      <w:pPr>
        <w:jc w:val="both"/>
        <w:rPr>
          <w:color w:val="000000"/>
          <w:lang w:val="fr-FR"/>
        </w:rPr>
      </w:pPr>
    </w:p>
    <w:p w:rsidR="00C948A8" w:rsidRDefault="00C42063">
      <w:pPr>
        <w:tabs>
          <w:tab w:val="left" w:pos="-720"/>
        </w:tabs>
        <w:suppressAutoHyphens/>
        <w:spacing w:before="40" w:after="54"/>
        <w:rPr>
          <w:b/>
          <w:u w:val="single"/>
          <w:lang w:val="fr-FR"/>
        </w:rPr>
      </w:pPr>
      <w:r>
        <w:rPr>
          <w:rFonts w:eastAsia="Calibri"/>
          <w:b/>
          <w:color w:val="244061"/>
          <w:lang w:val="fr-FR"/>
        </w:rPr>
        <w:t>Qualifications et Expériences</w:t>
      </w:r>
      <w:r>
        <w:rPr>
          <w:b/>
          <w:u w:val="single"/>
          <w:lang w:val="fr-FR"/>
        </w:rPr>
        <w:t xml:space="preserve"> </w:t>
      </w:r>
    </w:p>
    <w:p w:rsidR="00C948A8" w:rsidRDefault="00C948A8">
      <w:pPr>
        <w:tabs>
          <w:tab w:val="left" w:pos="-720"/>
        </w:tabs>
        <w:suppressAutoHyphens/>
        <w:spacing w:before="40" w:after="54"/>
        <w:rPr>
          <w:b/>
          <w:u w:val="single"/>
          <w:lang w:val="fr-FR"/>
        </w:rPr>
      </w:pPr>
    </w:p>
    <w:p w:rsidR="00C948A8" w:rsidRDefault="00C42063">
      <w:pPr>
        <w:tabs>
          <w:tab w:val="left" w:pos="-720"/>
        </w:tabs>
        <w:suppressAutoHyphens/>
        <w:spacing w:before="40" w:after="54"/>
        <w:rPr>
          <w:b/>
          <w:lang w:val="fr-FR"/>
        </w:rPr>
      </w:pPr>
      <w:r>
        <w:rPr>
          <w:b/>
          <w:lang w:val="fr-FR"/>
        </w:rPr>
        <w:t xml:space="preserve">Consultant </w:t>
      </w:r>
    </w:p>
    <w:p w:rsidR="00C948A8" w:rsidRDefault="00C948A8">
      <w:pPr>
        <w:rPr>
          <w:rFonts w:eastAsia="Calibri"/>
          <w:b/>
          <w:color w:val="244061"/>
          <w:lang w:val="fr-FR"/>
        </w:rPr>
      </w:pPr>
    </w:p>
    <w:p w:rsidR="00C948A8" w:rsidRDefault="00C42063">
      <w:pPr>
        <w:spacing w:before="240" w:after="240"/>
        <w:jc w:val="both"/>
        <w:rPr>
          <w:lang w:val="fr-FR"/>
        </w:rPr>
      </w:pPr>
      <w:r>
        <w:rPr>
          <w:rFonts w:eastAsia="Calibri"/>
          <w:b/>
          <w:lang w:val="fr-FR"/>
        </w:rPr>
        <w:t xml:space="preserve"> </w:t>
      </w:r>
      <w:r>
        <w:rPr>
          <w:b/>
          <w:lang w:val="fr-FR"/>
        </w:rPr>
        <w:t>Éducation</w:t>
      </w:r>
      <w:r>
        <w:rPr>
          <w:lang w:val="fr-FR"/>
        </w:rPr>
        <w:t xml:space="preserve"> : Le candidat doit </w:t>
      </w:r>
    </w:p>
    <w:p w:rsidR="00C948A8" w:rsidRPr="00775FE0" w:rsidRDefault="00C42063">
      <w:pPr>
        <w:numPr>
          <w:ilvl w:val="0"/>
          <w:numId w:val="3"/>
        </w:numPr>
        <w:jc w:val="both"/>
        <w:rPr>
          <w:lang w:val="fr-FR"/>
        </w:rPr>
      </w:pPr>
      <w:r w:rsidRPr="00775FE0">
        <w:rPr>
          <w:lang w:val="fr-FR"/>
        </w:rPr>
        <w:t>Formation universitaire supérieure en santé, santé publique, démographie, sciences sociales ou équivalent par une université reconnue (Bac +4).</w:t>
      </w:r>
    </w:p>
    <w:p w:rsidR="00C948A8" w:rsidRDefault="00C42063">
      <w:pPr>
        <w:spacing w:before="240" w:after="240"/>
        <w:jc w:val="both"/>
        <w:rPr>
          <w:lang w:val="fr-FR"/>
        </w:rPr>
      </w:pPr>
      <w:r>
        <w:rPr>
          <w:b/>
          <w:lang w:val="fr-FR"/>
        </w:rPr>
        <w:t>Expérience professionnelle</w:t>
      </w:r>
      <w:r>
        <w:rPr>
          <w:lang w:val="fr-FR"/>
        </w:rPr>
        <w:t xml:space="preserve"> </w:t>
      </w:r>
    </w:p>
    <w:p w:rsidR="00C948A8" w:rsidRPr="00775FE0" w:rsidRDefault="00347F3E">
      <w:pPr>
        <w:ind w:left="62"/>
        <w:jc w:val="both"/>
        <w:rPr>
          <w:color w:val="000000"/>
          <w:lang w:val="fr-FR"/>
        </w:rPr>
      </w:pPr>
      <w:r>
        <w:rPr>
          <w:color w:val="000000"/>
          <w:lang w:val="fr-FR"/>
        </w:rPr>
        <w:t>Le ou l</w:t>
      </w:r>
      <w:r w:rsidR="00C42063" w:rsidRPr="00775FE0">
        <w:rPr>
          <w:color w:val="000000"/>
          <w:lang w:val="fr-FR"/>
        </w:rPr>
        <w:t xml:space="preserve">a </w:t>
      </w:r>
      <w:proofErr w:type="gramStart"/>
      <w:r w:rsidR="00C42063" w:rsidRPr="00775FE0">
        <w:rPr>
          <w:color w:val="000000"/>
          <w:lang w:val="fr-FR"/>
        </w:rPr>
        <w:t>consultant.</w:t>
      </w:r>
      <w:bookmarkStart w:id="0" w:name="_GoBack"/>
      <w:bookmarkEnd w:id="0"/>
      <w:r w:rsidR="00C42063" w:rsidRPr="00775FE0">
        <w:rPr>
          <w:color w:val="000000"/>
          <w:lang w:val="fr-FR"/>
        </w:rPr>
        <w:t>e</w:t>
      </w:r>
      <w:proofErr w:type="gramEnd"/>
      <w:r w:rsidR="00C42063" w:rsidRPr="00775FE0">
        <w:rPr>
          <w:color w:val="000000"/>
          <w:lang w:val="fr-FR"/>
        </w:rPr>
        <w:t xml:space="preserve"> national.e devra avoir le profil suivant :</w:t>
      </w:r>
    </w:p>
    <w:p w:rsidR="00C948A8" w:rsidRPr="00775FE0" w:rsidRDefault="00C42063">
      <w:pPr>
        <w:numPr>
          <w:ilvl w:val="0"/>
          <w:numId w:val="3"/>
        </w:numPr>
        <w:jc w:val="both"/>
        <w:rPr>
          <w:lang w:val="fr-FR"/>
        </w:rPr>
      </w:pPr>
      <w:r w:rsidRPr="00775FE0">
        <w:rPr>
          <w:lang w:val="fr-FR"/>
        </w:rPr>
        <w:t>Formation universitaire supérieure</w:t>
      </w:r>
      <w:r w:rsidR="00775FE0">
        <w:rPr>
          <w:lang w:val="fr-FR"/>
        </w:rPr>
        <w:t xml:space="preserve"> (Master)</w:t>
      </w:r>
      <w:r w:rsidRPr="00775FE0">
        <w:rPr>
          <w:lang w:val="fr-FR"/>
        </w:rPr>
        <w:t xml:space="preserve"> en santé, santé publique, démographie, sciences sociales ou équivalent.</w:t>
      </w:r>
    </w:p>
    <w:p w:rsidR="00C948A8" w:rsidRPr="00775FE0" w:rsidRDefault="00775FE0">
      <w:pPr>
        <w:numPr>
          <w:ilvl w:val="0"/>
          <w:numId w:val="3"/>
        </w:numPr>
        <w:jc w:val="both"/>
        <w:rPr>
          <w:lang w:val="fr-FR"/>
        </w:rPr>
      </w:pPr>
      <w:r>
        <w:rPr>
          <w:lang w:val="fr-FR"/>
        </w:rPr>
        <w:t>Une expérience de 05 ans</w:t>
      </w:r>
      <w:r w:rsidR="00C42063" w:rsidRPr="00775FE0">
        <w:rPr>
          <w:lang w:val="fr-FR"/>
        </w:rPr>
        <w:t xml:space="preserve"> </w:t>
      </w:r>
      <w:r w:rsidR="00C42063">
        <w:rPr>
          <w:lang w:val="fr-FR"/>
        </w:rPr>
        <w:t xml:space="preserve">dans le domaine de la sécurisation des produits de santé notamment en santé sexuelle et reproductive </w:t>
      </w:r>
    </w:p>
    <w:p w:rsidR="00C948A8" w:rsidRPr="00775FE0" w:rsidRDefault="00C42063">
      <w:pPr>
        <w:numPr>
          <w:ilvl w:val="0"/>
          <w:numId w:val="3"/>
        </w:numPr>
        <w:jc w:val="both"/>
        <w:rPr>
          <w:lang w:val="fr-FR"/>
        </w:rPr>
      </w:pPr>
      <w:r w:rsidRPr="00775FE0">
        <w:rPr>
          <w:lang w:val="fr-FR"/>
        </w:rPr>
        <w:t xml:space="preserve">Avoir une expérience </w:t>
      </w:r>
      <w:r w:rsidR="00775FE0">
        <w:rPr>
          <w:lang w:val="fr-FR"/>
        </w:rPr>
        <w:t xml:space="preserve">de 05 ans </w:t>
      </w:r>
      <w:r w:rsidRPr="00775FE0">
        <w:rPr>
          <w:lang w:val="fr-FR"/>
        </w:rPr>
        <w:t>dans l’élaboration des documents stratégiques nationaux en matière de santé de la reproduction.</w:t>
      </w:r>
    </w:p>
    <w:p w:rsidR="00C948A8" w:rsidRPr="00775FE0" w:rsidRDefault="00C42063">
      <w:pPr>
        <w:numPr>
          <w:ilvl w:val="0"/>
          <w:numId w:val="3"/>
        </w:numPr>
        <w:jc w:val="both"/>
        <w:rPr>
          <w:lang w:val="fr-FR"/>
        </w:rPr>
      </w:pPr>
      <w:r w:rsidRPr="00775FE0">
        <w:rPr>
          <w:lang w:val="fr-FR"/>
        </w:rPr>
        <w:t xml:space="preserve">Très bonne connaissance des systèmes de santé </w:t>
      </w:r>
      <w:r>
        <w:rPr>
          <w:lang w:val="fr-FR"/>
        </w:rPr>
        <w:t>de la Guinée</w:t>
      </w:r>
      <w:r w:rsidRPr="00775FE0">
        <w:rPr>
          <w:lang w:val="fr-FR"/>
        </w:rPr>
        <w:t xml:space="preserve">. </w:t>
      </w:r>
    </w:p>
    <w:p w:rsidR="00C948A8" w:rsidRPr="00775FE0" w:rsidRDefault="00C42063">
      <w:pPr>
        <w:numPr>
          <w:ilvl w:val="0"/>
          <w:numId w:val="3"/>
        </w:numPr>
        <w:jc w:val="both"/>
        <w:rPr>
          <w:lang w:val="fr-FR"/>
        </w:rPr>
      </w:pPr>
      <w:r w:rsidRPr="00775FE0">
        <w:rPr>
          <w:lang w:val="fr-FR"/>
        </w:rPr>
        <w:t xml:space="preserve">Solides compétences en matière de communication écrite et orale </w:t>
      </w:r>
    </w:p>
    <w:p w:rsidR="00C948A8" w:rsidRPr="00775FE0" w:rsidRDefault="00C42063">
      <w:pPr>
        <w:numPr>
          <w:ilvl w:val="0"/>
          <w:numId w:val="3"/>
        </w:numPr>
        <w:jc w:val="both"/>
        <w:rPr>
          <w:lang w:val="fr-FR"/>
        </w:rPr>
      </w:pPr>
      <w:r w:rsidRPr="00775FE0">
        <w:rPr>
          <w:lang w:val="fr-FR"/>
        </w:rPr>
        <w:t xml:space="preserve">Une expérience </w:t>
      </w:r>
      <w:r w:rsidR="00775FE0">
        <w:rPr>
          <w:lang w:val="fr-FR"/>
        </w:rPr>
        <w:t>de travaille</w:t>
      </w:r>
      <w:r>
        <w:rPr>
          <w:lang w:val="fr-FR"/>
        </w:rPr>
        <w:t xml:space="preserve"> avec les </w:t>
      </w:r>
      <w:r w:rsidRPr="00775FE0">
        <w:rPr>
          <w:lang w:val="fr-FR"/>
        </w:rPr>
        <w:t>Nations unies ou ONG internationales travaillant sur la santé maternelle et néonatale serait un atout.</w:t>
      </w:r>
    </w:p>
    <w:p w:rsidR="00C948A8" w:rsidRDefault="00C42063">
      <w:pPr>
        <w:spacing w:before="240" w:after="240"/>
        <w:jc w:val="both"/>
        <w:rPr>
          <w:lang w:val="fr-FR"/>
        </w:rPr>
      </w:pPr>
      <w:r>
        <w:rPr>
          <w:b/>
          <w:lang w:val="fr-FR"/>
        </w:rPr>
        <w:lastRenderedPageBreak/>
        <w:t>Compétences :</w:t>
      </w:r>
      <w:r>
        <w:rPr>
          <w:lang w:val="fr-FR"/>
        </w:rPr>
        <w:t xml:space="preserve"> </w:t>
      </w:r>
    </w:p>
    <w:p w:rsidR="00C948A8" w:rsidRDefault="00C42063">
      <w:pPr>
        <w:spacing w:before="240" w:after="240"/>
        <w:ind w:firstLine="720"/>
        <w:jc w:val="both"/>
        <w:rPr>
          <w:lang w:val="fr-FR"/>
        </w:rPr>
      </w:pPr>
      <w:r>
        <w:rPr>
          <w:i/>
          <w:lang w:val="fr-FR"/>
        </w:rPr>
        <w:t>C</w:t>
      </w:r>
      <w:r>
        <w:rPr>
          <w:b/>
          <w:i/>
          <w:lang w:val="fr-FR"/>
        </w:rPr>
        <w:t>ommunication</w:t>
      </w:r>
      <w:r>
        <w:rPr>
          <w:b/>
          <w:lang w:val="fr-FR"/>
        </w:rPr>
        <w:t xml:space="preserve"> </w:t>
      </w:r>
      <w:r>
        <w:rPr>
          <w:lang w:val="fr-FR"/>
        </w:rPr>
        <w:t xml:space="preserve">: Excellentes compétences en matière d’analyse et de rédaction, avec la capacité de rédiger/éditer une variété de rapports écrits, et d’incorporer en temps opportun les commentaires et contributions pertinents provenant de sources multiples. </w:t>
      </w:r>
    </w:p>
    <w:p w:rsidR="00C948A8" w:rsidRDefault="00C42063">
      <w:pPr>
        <w:spacing w:before="240" w:after="240"/>
        <w:ind w:firstLine="720"/>
        <w:jc w:val="both"/>
        <w:rPr>
          <w:lang w:val="fr-FR"/>
        </w:rPr>
      </w:pPr>
      <w:r>
        <w:rPr>
          <w:b/>
          <w:i/>
          <w:lang w:val="fr-FR"/>
        </w:rPr>
        <w:t>Conscience technologique</w:t>
      </w:r>
      <w:r>
        <w:rPr>
          <w:lang w:val="fr-FR"/>
        </w:rPr>
        <w:t xml:space="preserve"> : Compétences informatiques et utilisation de logiciels et d’autres applications pertinents, par exemple le traitement de texte et la recherche sur Internet. </w:t>
      </w:r>
    </w:p>
    <w:p w:rsidR="00C948A8" w:rsidRDefault="00C42063">
      <w:pPr>
        <w:spacing w:before="240" w:after="240"/>
        <w:jc w:val="both"/>
        <w:rPr>
          <w:lang w:val="fr-FR"/>
        </w:rPr>
      </w:pPr>
      <w:r>
        <w:rPr>
          <w:b/>
          <w:lang w:val="fr-FR"/>
        </w:rPr>
        <w:t>Travail d’équipe </w:t>
      </w:r>
      <w:r>
        <w:rPr>
          <w:lang w:val="fr-FR"/>
        </w:rPr>
        <w:t xml:space="preserve">: Bonnes compétences interpersonnelles et capacité à établir et à maintenir des partenariats et des relations de travail efficaces dans un environnement multiculturel et multiethnique avec sensibilité et respect de la diversité. </w:t>
      </w:r>
    </w:p>
    <w:p w:rsidR="00C948A8" w:rsidRDefault="00C42063">
      <w:pPr>
        <w:spacing w:before="240" w:after="240"/>
        <w:jc w:val="both"/>
        <w:rPr>
          <w:lang w:val="fr-FR"/>
        </w:rPr>
      </w:pPr>
      <w:r>
        <w:rPr>
          <w:b/>
          <w:lang w:val="fr-FR"/>
        </w:rPr>
        <w:t xml:space="preserve">Langues </w:t>
      </w:r>
      <w:r>
        <w:rPr>
          <w:lang w:val="fr-FR"/>
        </w:rPr>
        <w:t xml:space="preserve">: La maîtrise du Français Oral et </w:t>
      </w:r>
      <w:r w:rsidR="00347F3E">
        <w:rPr>
          <w:lang w:val="fr-FR"/>
        </w:rPr>
        <w:t>Ecrit.</w:t>
      </w:r>
    </w:p>
    <w:p w:rsidR="00C948A8" w:rsidRDefault="00C42063">
      <w:pPr>
        <w:spacing w:before="240" w:after="240"/>
        <w:jc w:val="both"/>
        <w:rPr>
          <w:rFonts w:eastAsia="Calibri"/>
          <w:b/>
          <w:color w:val="244061"/>
          <w:lang w:val="fr-FR"/>
        </w:rPr>
      </w:pPr>
      <w:r>
        <w:rPr>
          <w:rFonts w:eastAsia="Calibri"/>
          <w:b/>
          <w:color w:val="244061"/>
          <w:lang w:val="fr-FR"/>
        </w:rPr>
        <w:t>Compétences Requises :</w:t>
      </w:r>
    </w:p>
    <w:tbl>
      <w:tblPr>
        <w:tblStyle w:val="1"/>
        <w:tblW w:w="9025" w:type="dxa"/>
        <w:tblLayout w:type="fixed"/>
        <w:tblLook w:val="04A0" w:firstRow="1" w:lastRow="0" w:firstColumn="1" w:lastColumn="0" w:noHBand="0" w:noVBand="1"/>
      </w:tblPr>
      <w:tblGrid>
        <w:gridCol w:w="4512"/>
        <w:gridCol w:w="4513"/>
      </w:tblGrid>
      <w:tr w:rsidR="00C948A8" w:rsidRPr="00347F3E">
        <w:trPr>
          <w:trHeight w:val="2220"/>
        </w:trPr>
        <w:tc>
          <w:tcPr>
            <w:tcW w:w="4512" w:type="dxa"/>
            <w:tcBorders>
              <w:top w:val="single" w:sz="8" w:space="0" w:color="5B9BD5"/>
              <w:left w:val="single" w:sz="8" w:space="0" w:color="5B9BD5"/>
              <w:bottom w:val="single" w:sz="8" w:space="0" w:color="5B9BD5"/>
              <w:right w:val="single" w:sz="8" w:space="0" w:color="5B9BD5"/>
            </w:tcBorders>
            <w:tcMar>
              <w:top w:w="80" w:type="dxa"/>
              <w:left w:w="80" w:type="dxa"/>
              <w:bottom w:w="80" w:type="dxa"/>
              <w:right w:w="80" w:type="dxa"/>
            </w:tcMar>
          </w:tcPr>
          <w:p w:rsidR="00C948A8" w:rsidRDefault="00C42063">
            <w:pPr>
              <w:spacing w:before="240" w:after="240"/>
              <w:ind w:left="100"/>
              <w:rPr>
                <w:rFonts w:eastAsia="Calibri"/>
                <w:b/>
                <w:color w:val="244061"/>
                <w:lang w:val="fr-FR"/>
              </w:rPr>
            </w:pPr>
            <w:r>
              <w:rPr>
                <w:rFonts w:eastAsia="Calibri"/>
                <w:b/>
                <w:color w:val="244061"/>
                <w:lang w:val="fr-FR"/>
              </w:rPr>
              <w:t xml:space="preserve"> Valeurs :</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être un exemple d’intégrité</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Démontrer son engagement envers l’UNFPA et le Système des Nations Unies</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s’adapter à la diversité culturelle</w:t>
            </w:r>
          </w:p>
          <w:p w:rsidR="00C948A8" w:rsidRDefault="00C42063">
            <w:pPr>
              <w:ind w:left="780" w:hanging="260"/>
              <w:rPr>
                <w:rFonts w:eastAsia="Calibri"/>
                <w:lang w:val="fr-FR"/>
              </w:rPr>
            </w:pPr>
            <w:r>
              <w:rPr>
                <w:rFonts w:eastAsia="Trebuchet MS"/>
                <w:lang w:val="fr-FR"/>
              </w:rPr>
              <w:t>•</w:t>
            </w:r>
            <w:r>
              <w:rPr>
                <w:sz w:val="14"/>
                <w:szCs w:val="14"/>
                <w:lang w:val="fr-FR"/>
              </w:rPr>
              <w:t xml:space="preserve">  </w:t>
            </w:r>
            <w:r>
              <w:rPr>
                <w:rFonts w:eastAsia="Calibri"/>
                <w:lang w:val="fr-FR"/>
              </w:rPr>
              <w:t xml:space="preserve"> s’adapter au changement</w:t>
            </w:r>
          </w:p>
        </w:tc>
        <w:tc>
          <w:tcPr>
            <w:tcW w:w="4512" w:type="dxa"/>
            <w:tcBorders>
              <w:top w:val="single" w:sz="8" w:space="0" w:color="5B9BD5"/>
              <w:left w:val="nil"/>
              <w:bottom w:val="single" w:sz="8" w:space="0" w:color="5B9BD5"/>
              <w:right w:val="single" w:sz="8" w:space="0" w:color="5B9BD5"/>
            </w:tcBorders>
            <w:tcMar>
              <w:top w:w="80" w:type="dxa"/>
              <w:left w:w="80" w:type="dxa"/>
              <w:bottom w:w="80" w:type="dxa"/>
              <w:right w:w="80" w:type="dxa"/>
            </w:tcMar>
          </w:tcPr>
          <w:p w:rsidR="00C948A8" w:rsidRDefault="00C42063">
            <w:pPr>
              <w:spacing w:before="240"/>
              <w:ind w:left="100"/>
              <w:rPr>
                <w:rFonts w:eastAsia="Calibri"/>
                <w:b/>
                <w:color w:val="244061"/>
                <w:lang w:val="fr-FR"/>
              </w:rPr>
            </w:pPr>
            <w:r>
              <w:rPr>
                <w:rFonts w:eastAsia="Calibri"/>
                <w:b/>
                <w:color w:val="244061"/>
                <w:lang w:val="fr-FR"/>
              </w:rPr>
              <w:t xml:space="preserve"> Compétences fonctionnelles :</w:t>
            </w:r>
          </w:p>
          <w:p w:rsidR="00C948A8" w:rsidRDefault="00C42063">
            <w:pPr>
              <w:ind w:left="780" w:hanging="260"/>
              <w:rPr>
                <w:rFonts w:eastAsia="Calibri"/>
                <w:i/>
                <w:lang w:val="fr-FR"/>
              </w:rPr>
            </w:pPr>
            <w:r>
              <w:rPr>
                <w:rFonts w:eastAsia="Trebuchet MS"/>
                <w:lang w:val="fr-FR"/>
              </w:rPr>
              <w:t>•</w:t>
            </w:r>
            <w:r>
              <w:rPr>
                <w:sz w:val="14"/>
                <w:szCs w:val="14"/>
                <w:lang w:val="fr-FR"/>
              </w:rPr>
              <w:tab/>
            </w:r>
            <w:r>
              <w:rPr>
                <w:rFonts w:eastAsia="Calibri"/>
                <w:i/>
                <w:highlight w:val="yellow"/>
                <w:lang w:val="fr-FR"/>
              </w:rPr>
              <w:t>[</w:t>
            </w:r>
            <w:r>
              <w:rPr>
                <w:rFonts w:eastAsia="Calibri"/>
                <w:i/>
                <w:lang w:val="fr-FR"/>
              </w:rPr>
              <w:t xml:space="preserve">du cadre de compétences] </w:t>
            </w:r>
          </w:p>
          <w:p w:rsidR="00C948A8" w:rsidRDefault="00C42063">
            <w:pPr>
              <w:spacing w:before="240" w:after="240"/>
              <w:ind w:left="100"/>
              <w:rPr>
                <w:rFonts w:eastAsia="Calibri"/>
                <w:sz w:val="22"/>
                <w:szCs w:val="22"/>
                <w:lang w:val="fr-FR"/>
              </w:rPr>
            </w:pPr>
            <w:r>
              <w:rPr>
                <w:rFonts w:eastAsia="Calibri"/>
                <w:sz w:val="22"/>
                <w:szCs w:val="22"/>
                <w:lang w:val="fr-FR"/>
              </w:rPr>
              <w:t xml:space="preserve"> </w:t>
            </w:r>
          </w:p>
        </w:tc>
      </w:tr>
      <w:tr w:rsidR="00C948A8" w:rsidRPr="00347F3E">
        <w:trPr>
          <w:trHeight w:val="2445"/>
        </w:trPr>
        <w:tc>
          <w:tcPr>
            <w:tcW w:w="9024" w:type="dxa"/>
            <w:gridSpan w:val="2"/>
            <w:tcBorders>
              <w:top w:val="nil"/>
              <w:left w:val="single" w:sz="8" w:space="0" w:color="5B9BD5"/>
              <w:bottom w:val="single" w:sz="8" w:space="0" w:color="5B9BD5"/>
              <w:right w:val="single" w:sz="8" w:space="0" w:color="5B9BD5"/>
            </w:tcBorders>
            <w:tcMar>
              <w:top w:w="80" w:type="dxa"/>
              <w:left w:w="80" w:type="dxa"/>
              <w:bottom w:w="80" w:type="dxa"/>
              <w:right w:w="80" w:type="dxa"/>
            </w:tcMar>
          </w:tcPr>
          <w:p w:rsidR="00C948A8" w:rsidRDefault="00C42063">
            <w:pPr>
              <w:spacing w:before="240"/>
              <w:ind w:left="100"/>
              <w:rPr>
                <w:rFonts w:eastAsia="Calibri"/>
                <w:b/>
                <w:color w:val="244061"/>
                <w:lang w:val="fr-FR"/>
              </w:rPr>
            </w:pPr>
            <w:r>
              <w:rPr>
                <w:rFonts w:eastAsia="Calibri"/>
                <w:b/>
                <w:color w:val="244061"/>
                <w:lang w:val="fr-FR"/>
              </w:rPr>
              <w:t>Compétences de base :</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Obtenir des résultats</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Etre responsable</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 xml:space="preserve"> Développer et appliquer une expertise professionnelle / un sens des affaires</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 xml:space="preserve">Penser de </w:t>
            </w:r>
            <w:r w:rsidR="00347F3E">
              <w:rPr>
                <w:rFonts w:eastAsia="Calibri"/>
                <w:lang w:val="fr-FR"/>
              </w:rPr>
              <w:t>manière</w:t>
            </w:r>
            <w:r>
              <w:rPr>
                <w:rFonts w:eastAsia="Calibri"/>
                <w:lang w:val="fr-FR"/>
              </w:rPr>
              <w:t xml:space="preserve"> analytique et stratégique</w:t>
            </w:r>
          </w:p>
          <w:p w:rsidR="00C948A8" w:rsidRDefault="00C42063">
            <w:pPr>
              <w:ind w:left="780" w:hanging="260"/>
              <w:rPr>
                <w:rFonts w:eastAsia="Calibri"/>
                <w:lang w:val="fr-FR"/>
              </w:rPr>
            </w:pPr>
            <w:r>
              <w:rPr>
                <w:rFonts w:eastAsia="Trebuchet MS"/>
                <w:lang w:val="fr-FR"/>
              </w:rPr>
              <w:t>•</w:t>
            </w:r>
            <w:r>
              <w:rPr>
                <w:sz w:val="14"/>
                <w:szCs w:val="14"/>
                <w:lang w:val="fr-FR"/>
              </w:rPr>
              <w:tab/>
            </w:r>
            <w:r>
              <w:rPr>
                <w:rFonts w:eastAsia="Calibri"/>
                <w:lang w:val="fr-FR"/>
              </w:rPr>
              <w:t>Travailler en équipe/se gérer soi-même et ses relations</w:t>
            </w:r>
          </w:p>
          <w:p w:rsidR="00C948A8" w:rsidRDefault="00C42063">
            <w:pPr>
              <w:ind w:left="780" w:hanging="260"/>
              <w:rPr>
                <w:rFonts w:eastAsia="Calibri"/>
                <w:sz w:val="22"/>
                <w:szCs w:val="22"/>
                <w:lang w:val="fr-FR"/>
              </w:rPr>
            </w:pPr>
            <w:r>
              <w:rPr>
                <w:rFonts w:eastAsia="Trebuchet MS"/>
                <w:lang w:val="fr-FR"/>
              </w:rPr>
              <w:t>•</w:t>
            </w:r>
            <w:r>
              <w:rPr>
                <w:sz w:val="14"/>
                <w:szCs w:val="14"/>
                <w:lang w:val="fr-FR"/>
              </w:rPr>
              <w:tab/>
            </w:r>
            <w:r>
              <w:rPr>
                <w:rFonts w:eastAsia="Calibri"/>
                <w:lang w:val="fr-FR"/>
              </w:rPr>
              <w:t>Communiquer pour avoir un impact</w:t>
            </w:r>
            <w:r>
              <w:rPr>
                <w:rFonts w:eastAsia="Calibri"/>
                <w:sz w:val="22"/>
                <w:szCs w:val="22"/>
                <w:lang w:val="fr-FR"/>
              </w:rPr>
              <w:t xml:space="preserve"> </w:t>
            </w:r>
          </w:p>
        </w:tc>
      </w:tr>
      <w:tr w:rsidR="00C948A8" w:rsidRPr="00347F3E">
        <w:trPr>
          <w:trHeight w:val="271"/>
        </w:trPr>
        <w:tc>
          <w:tcPr>
            <w:tcW w:w="9024" w:type="dxa"/>
            <w:gridSpan w:val="2"/>
            <w:tcBorders>
              <w:top w:val="nil"/>
              <w:left w:val="single" w:sz="8" w:space="0" w:color="5B9BD5"/>
              <w:bottom w:val="single" w:sz="8" w:space="0" w:color="5B9BD5"/>
              <w:right w:val="single" w:sz="8" w:space="0" w:color="5B9BD5"/>
            </w:tcBorders>
            <w:shd w:val="clear" w:color="auto" w:fill="auto"/>
            <w:tcMar>
              <w:top w:w="80" w:type="dxa"/>
              <w:left w:w="80" w:type="dxa"/>
              <w:bottom w:w="80" w:type="dxa"/>
              <w:right w:w="80" w:type="dxa"/>
            </w:tcMar>
          </w:tcPr>
          <w:p w:rsidR="00C948A8" w:rsidRDefault="00C42063">
            <w:pPr>
              <w:spacing w:before="240"/>
              <w:rPr>
                <w:rFonts w:eastAsia="Calibri"/>
                <w:b/>
                <w:color w:val="244061"/>
                <w:lang w:val="fr-FR"/>
              </w:rPr>
            </w:pPr>
            <w:r>
              <w:rPr>
                <w:rFonts w:eastAsia="Calibri"/>
                <w:b/>
                <w:color w:val="244061"/>
                <w:lang w:val="fr-FR"/>
              </w:rPr>
              <w:t xml:space="preserve"> </w:t>
            </w:r>
          </w:p>
        </w:tc>
      </w:tr>
    </w:tbl>
    <w:p w:rsidR="00C948A8" w:rsidRDefault="00C948A8">
      <w:pPr>
        <w:spacing w:before="240"/>
        <w:rPr>
          <w:rFonts w:eastAsia="Calibri"/>
          <w:b/>
          <w:color w:val="244061"/>
          <w:lang w:val="fr-FR"/>
        </w:rPr>
      </w:pPr>
    </w:p>
    <w:tbl>
      <w:tblPr>
        <w:tblStyle w:val="TableGrid"/>
        <w:tblW w:w="0" w:type="auto"/>
        <w:tblLook w:val="04A0" w:firstRow="1" w:lastRow="0" w:firstColumn="1" w:lastColumn="0" w:noHBand="0" w:noVBand="1"/>
      </w:tblPr>
      <w:tblGrid>
        <w:gridCol w:w="2286"/>
        <w:gridCol w:w="6724"/>
      </w:tblGrid>
      <w:tr w:rsidR="00C948A8" w:rsidRPr="00347F3E">
        <w:tc>
          <w:tcPr>
            <w:tcW w:w="2286" w:type="dxa"/>
          </w:tcPr>
          <w:p w:rsidR="00C948A8" w:rsidRDefault="00C42063">
            <w:pPr>
              <w:spacing w:after="200"/>
              <w:rPr>
                <w:bCs/>
                <w:color w:val="000000"/>
                <w:shd w:val="clear" w:color="auto" w:fill="FFFFFF"/>
                <w:lang w:val="fr-FR"/>
              </w:rPr>
            </w:pPr>
            <w:r>
              <w:rPr>
                <w:b/>
                <w:color w:val="244061"/>
                <w:lang w:val="fr-FR"/>
              </w:rPr>
              <w:t>Comment Postuler:</w:t>
            </w:r>
          </w:p>
        </w:tc>
        <w:tc>
          <w:tcPr>
            <w:tcW w:w="6724" w:type="dxa"/>
          </w:tcPr>
          <w:p w:rsidR="00C948A8" w:rsidRDefault="00C42063">
            <w:pPr>
              <w:numPr>
                <w:ilvl w:val="0"/>
                <w:numId w:val="4"/>
              </w:numPr>
              <w:shd w:val="clear" w:color="auto" w:fill="FFFFFF"/>
              <w:contextualSpacing/>
              <w:rPr>
                <w:color w:val="000000"/>
                <w:lang w:val="fr-FR" w:eastAsia="fr-FR"/>
              </w:rPr>
            </w:pPr>
            <w:r>
              <w:rPr>
                <w:color w:val="000000"/>
                <w:lang w:val="fr-FR" w:eastAsia="fr-FR"/>
              </w:rPr>
              <w:t>Veuillez envoyer votre CV par E-mail, accompagné d’une lettre de motivation et du formulaire P11 à ginprocurement@unfpa.org</w:t>
            </w:r>
          </w:p>
          <w:p w:rsidR="00C948A8" w:rsidRDefault="00C42063">
            <w:pPr>
              <w:numPr>
                <w:ilvl w:val="0"/>
                <w:numId w:val="4"/>
              </w:numPr>
              <w:shd w:val="clear" w:color="auto" w:fill="FFFFFF"/>
              <w:contextualSpacing/>
              <w:rPr>
                <w:color w:val="000000"/>
                <w:lang w:val="fr-FR" w:eastAsia="fr-FR"/>
              </w:rPr>
            </w:pPr>
            <w:r>
              <w:rPr>
                <w:color w:val="000000"/>
                <w:lang w:val="fr-FR" w:eastAsia="fr-FR"/>
              </w:rPr>
              <w:t>Veuillez spécifier le titre de la consultation dans l’objet de l’E-mail</w:t>
            </w:r>
          </w:p>
          <w:p w:rsidR="00C948A8" w:rsidRDefault="00C42063">
            <w:pPr>
              <w:numPr>
                <w:ilvl w:val="0"/>
                <w:numId w:val="4"/>
              </w:numPr>
              <w:shd w:val="clear" w:color="auto" w:fill="FFFFFF"/>
              <w:contextualSpacing/>
              <w:rPr>
                <w:color w:val="000000"/>
                <w:lang w:val="fr-FR" w:eastAsia="fr-FR"/>
              </w:rPr>
            </w:pPr>
            <w:r>
              <w:rPr>
                <w:color w:val="000000"/>
                <w:lang w:val="fr-FR" w:eastAsia="fr-FR"/>
              </w:rPr>
              <w:t xml:space="preserve">Seules les soumissions envoyées à </w:t>
            </w:r>
            <w:hyperlink r:id="rId8" w:history="1">
              <w:r>
                <w:rPr>
                  <w:color w:val="0000FF"/>
                  <w:u w:val="single"/>
                  <w:lang w:val="fr-FR" w:eastAsia="fr-FR"/>
                </w:rPr>
                <w:t>ginprocurement@unfpa.org</w:t>
              </w:r>
            </w:hyperlink>
            <w:r>
              <w:rPr>
                <w:color w:val="000000"/>
                <w:lang w:val="fr-FR" w:eastAsia="fr-FR"/>
              </w:rPr>
              <w:t xml:space="preserve"> seront considérées</w:t>
            </w:r>
          </w:p>
          <w:p w:rsidR="00C948A8" w:rsidRDefault="00C42063">
            <w:pPr>
              <w:numPr>
                <w:ilvl w:val="0"/>
                <w:numId w:val="4"/>
              </w:numPr>
              <w:spacing w:after="200"/>
              <w:contextualSpacing/>
              <w:rPr>
                <w:lang w:val="fr-FR"/>
              </w:rPr>
            </w:pPr>
            <w:r>
              <w:rPr>
                <w:color w:val="000000"/>
                <w:lang w:val="fr-FR" w:eastAsia="fr-FR"/>
              </w:rPr>
              <w:t xml:space="preserve">Les soumissions reçues après la date du </w:t>
            </w:r>
            <w:r w:rsidRPr="00775FE0">
              <w:rPr>
                <w:color w:val="000000"/>
                <w:lang w:val="fr-FR" w:eastAsia="fr-FR"/>
              </w:rPr>
              <w:t>02 octobre</w:t>
            </w:r>
            <w:r w:rsidR="00347F3E">
              <w:rPr>
                <w:color w:val="000000"/>
                <w:lang w:val="fr-FR" w:eastAsia="fr-FR"/>
              </w:rPr>
              <w:t xml:space="preserve"> </w:t>
            </w:r>
            <w:r w:rsidRPr="00775FE0">
              <w:rPr>
                <w:color w:val="000000"/>
                <w:lang w:val="fr-FR" w:eastAsia="fr-FR"/>
              </w:rPr>
              <w:t>&amp;</w:t>
            </w:r>
            <w:r>
              <w:rPr>
                <w:color w:val="000000"/>
                <w:lang w:val="fr-FR" w:eastAsia="fr-FR"/>
              </w:rPr>
              <w:t xml:space="preserve"> 2023 ne seront pas prises en compte</w:t>
            </w:r>
          </w:p>
        </w:tc>
      </w:tr>
    </w:tbl>
    <w:p w:rsidR="00C948A8" w:rsidRDefault="00C948A8">
      <w:pPr>
        <w:spacing w:before="240"/>
        <w:rPr>
          <w:rFonts w:eastAsia="Calibri"/>
          <w:b/>
          <w:color w:val="244061"/>
          <w:lang w:val="fr-FR"/>
        </w:rPr>
      </w:pPr>
    </w:p>
    <w:p w:rsidR="00C948A8" w:rsidRDefault="00C42063">
      <w:pPr>
        <w:spacing w:before="240" w:after="240"/>
        <w:rPr>
          <w:rFonts w:eastAsia="Calibri"/>
          <w:b/>
          <w:color w:val="244061"/>
          <w:lang w:val="fr-FR"/>
        </w:rPr>
      </w:pPr>
      <w:r>
        <w:rPr>
          <w:rFonts w:eastAsia="Calibri"/>
          <w:b/>
          <w:color w:val="244061"/>
          <w:lang w:val="fr-FR"/>
        </w:rPr>
        <w:lastRenderedPageBreak/>
        <w:t xml:space="preserve"> </w:t>
      </w:r>
    </w:p>
    <w:p w:rsidR="00C948A8" w:rsidRDefault="00C42063">
      <w:pPr>
        <w:spacing w:before="240" w:after="240"/>
        <w:rPr>
          <w:rFonts w:eastAsia="Calibri"/>
          <w:sz w:val="22"/>
          <w:szCs w:val="22"/>
          <w:lang w:val="fr-FR"/>
        </w:rPr>
      </w:pPr>
      <w:r>
        <w:rPr>
          <w:rFonts w:eastAsia="Calibri"/>
          <w:sz w:val="22"/>
          <w:szCs w:val="22"/>
          <w:lang w:val="fr-FR"/>
        </w:rPr>
        <w:t xml:space="preserve"> </w:t>
      </w:r>
    </w:p>
    <w:p w:rsidR="00C948A8" w:rsidRDefault="00C948A8">
      <w:pPr>
        <w:spacing w:after="160"/>
        <w:rPr>
          <w:rFonts w:eastAsia="Calibri"/>
          <w:b/>
          <w:color w:val="1F497D"/>
          <w:sz w:val="32"/>
          <w:szCs w:val="32"/>
          <w:lang w:val="fr-FR"/>
        </w:rPr>
      </w:pPr>
    </w:p>
    <w:p w:rsidR="00C948A8" w:rsidRDefault="00C948A8">
      <w:pPr>
        <w:spacing w:after="160"/>
        <w:rPr>
          <w:rFonts w:eastAsia="Calibri"/>
          <w:color w:val="000000"/>
          <w:sz w:val="22"/>
          <w:szCs w:val="22"/>
          <w:lang w:val="fr-FR"/>
        </w:rPr>
      </w:pPr>
    </w:p>
    <w:sectPr w:rsidR="00C948A8">
      <w:headerReference w:type="default" r:id="rId9"/>
      <w:footerReference w:type="default" r:id="rId10"/>
      <w:pgSz w:w="11900" w:h="16840"/>
      <w:pgMar w:top="1440" w:right="860" w:bottom="1170" w:left="12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75" w:rsidRDefault="003D2175">
      <w:r>
        <w:separator/>
      </w:r>
    </w:p>
  </w:endnote>
  <w:endnote w:type="continuationSeparator" w:id="0">
    <w:p w:rsidR="003D2175" w:rsidRDefault="003D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A8" w:rsidRDefault="00C948A8">
    <w:pP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75" w:rsidRDefault="003D2175">
      <w:r>
        <w:separator/>
      </w:r>
    </w:p>
  </w:footnote>
  <w:footnote w:type="continuationSeparator" w:id="0">
    <w:p w:rsidR="003D2175" w:rsidRDefault="003D2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A8" w:rsidRDefault="00C42063">
    <w:pPr>
      <w:rPr>
        <w:rFonts w:ascii="Calibri" w:eastAsia="Calibri" w:hAnsi="Calibri" w:cs="Calibri"/>
        <w:color w:val="000000"/>
        <w:sz w:val="22"/>
        <w:szCs w:val="22"/>
      </w:rPr>
    </w:pPr>
    <w:r>
      <w:rPr>
        <w:rFonts w:ascii="Calibri" w:eastAsia="Calibri" w:hAnsi="Calibri" w:cs="Calibri"/>
        <w:noProof/>
        <w:color w:val="000000"/>
        <w:sz w:val="22"/>
        <w:szCs w:val="22"/>
        <w:lang w:val="fr-FR" w:eastAsia="fr-FR"/>
      </w:rPr>
      <w:drawing>
        <wp:anchor distT="0" distB="0" distL="0" distR="0" simplePos="0" relativeHeight="251659264" behindDoc="0" locked="0" layoutInCell="1" allowOverlap="1">
          <wp:simplePos x="0" y="0"/>
          <wp:positionH relativeFrom="page">
            <wp:posOffset>895350</wp:posOffset>
          </wp:positionH>
          <wp:positionV relativeFrom="page">
            <wp:posOffset>295275</wp:posOffset>
          </wp:positionV>
          <wp:extent cx="1146810" cy="594360"/>
          <wp:effectExtent l="0" t="0" r="0" b="0"/>
          <wp:wrapSquare wrapText="bothSides"/>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1073741826" name="image1.png" descr="image2.png"/>
                  <pic:cNvPicPr preferRelativeResize="0"/>
                </pic:nvPicPr>
                <pic:blipFill>
                  <a:blip r:embed="rId1"/>
                  <a:srcRect/>
                  <a:stretch>
                    <a:fillRect/>
                  </a:stretch>
                </pic:blipFill>
                <pic:spPr>
                  <a:xfrm>
                    <a:off x="0" y="0"/>
                    <a:ext cx="1146810" cy="594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4C382E"/>
    <w:multiLevelType w:val="singleLevel"/>
    <w:tmpl w:val="AD4C382E"/>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C5017DE"/>
    <w:multiLevelType w:val="multilevel"/>
    <w:tmpl w:val="0C5017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E2F2172"/>
    <w:multiLevelType w:val="multilevel"/>
    <w:tmpl w:val="1E2F21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E2DCD5"/>
    <w:multiLevelType w:val="singleLevel"/>
    <w:tmpl w:val="67E2DCD5"/>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9"/>
    <w:rsid w:val="00080EC4"/>
    <w:rsid w:val="00084AAE"/>
    <w:rsid w:val="00093B04"/>
    <w:rsid w:val="000B5199"/>
    <w:rsid w:val="001C7973"/>
    <w:rsid w:val="00207164"/>
    <w:rsid w:val="0021685A"/>
    <w:rsid w:val="00256676"/>
    <w:rsid w:val="00266CFC"/>
    <w:rsid w:val="00321680"/>
    <w:rsid w:val="00347F3E"/>
    <w:rsid w:val="0035423C"/>
    <w:rsid w:val="003D2175"/>
    <w:rsid w:val="0042616D"/>
    <w:rsid w:val="00472F77"/>
    <w:rsid w:val="004872A3"/>
    <w:rsid w:val="004F7C8E"/>
    <w:rsid w:val="00503950"/>
    <w:rsid w:val="00516233"/>
    <w:rsid w:val="00520CF2"/>
    <w:rsid w:val="005816FE"/>
    <w:rsid w:val="006A5478"/>
    <w:rsid w:val="006C7F71"/>
    <w:rsid w:val="006F627C"/>
    <w:rsid w:val="0071736E"/>
    <w:rsid w:val="0073682B"/>
    <w:rsid w:val="00775FE0"/>
    <w:rsid w:val="007836A7"/>
    <w:rsid w:val="00872C75"/>
    <w:rsid w:val="00931438"/>
    <w:rsid w:val="00956747"/>
    <w:rsid w:val="00A81FC7"/>
    <w:rsid w:val="00AB0791"/>
    <w:rsid w:val="00B757B9"/>
    <w:rsid w:val="00BE7EDF"/>
    <w:rsid w:val="00C42063"/>
    <w:rsid w:val="00C948A8"/>
    <w:rsid w:val="00CB0E31"/>
    <w:rsid w:val="00D3583C"/>
    <w:rsid w:val="00D53CF4"/>
    <w:rsid w:val="00D72599"/>
    <w:rsid w:val="00D83080"/>
    <w:rsid w:val="00D91A43"/>
    <w:rsid w:val="00E034F3"/>
    <w:rsid w:val="00E2201B"/>
    <w:rsid w:val="00E32800"/>
    <w:rsid w:val="00E33E2E"/>
    <w:rsid w:val="00E40542"/>
    <w:rsid w:val="00E427A3"/>
    <w:rsid w:val="00E948D5"/>
    <w:rsid w:val="00EC3AB5"/>
    <w:rsid w:val="00EE075B"/>
    <w:rsid w:val="00EF6638"/>
    <w:rsid w:val="00F036ED"/>
    <w:rsid w:val="00F337E5"/>
    <w:rsid w:val="00F41852"/>
    <w:rsid w:val="00FA292B"/>
    <w:rsid w:val="00FC3586"/>
    <w:rsid w:val="00FE3CC7"/>
    <w:rsid w:val="1CA333EB"/>
    <w:rsid w:val="230A4E08"/>
    <w:rsid w:val="2C1B476C"/>
    <w:rsid w:val="37C551F8"/>
    <w:rsid w:val="46F459F4"/>
    <w:rsid w:val="4E963E7C"/>
    <w:rsid w:val="5C2A51C2"/>
    <w:rsid w:val="5F295B30"/>
    <w:rsid w:val="6BD858FE"/>
    <w:rsid w:val="77F23B5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1B7A"/>
  <w15:docId w15:val="{25035D8C-3A0F-4362-A7AE-4FC1E8F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Strong">
    <w:name w:val="Strong"/>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DocumentMap">
    <w:name w:val="Document Map"/>
    <w:basedOn w:val="Normal"/>
    <w:link w:val="DocumentMapChar"/>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basedOn w:val="Normal"/>
    <w:next w:val="Normal"/>
    <w:pPr>
      <w:keepNext/>
      <w:keepLines/>
      <w:spacing w:before="480" w:after="120"/>
    </w:pPr>
    <w:rPr>
      <w:b/>
      <w:sz w:val="72"/>
      <w:szCs w:val="72"/>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lang w:val="en-US"/>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character" w:customStyle="1" w:styleId="CommentTextChar">
    <w:name w:val="Comment Text Char"/>
    <w:basedOn w:val="DefaultParagraphFont"/>
    <w:link w:val="CommentText"/>
    <w:uiPriority w:val="99"/>
    <w:semiHidden/>
    <w:rPr>
      <w:lang w:val="en-US" w:eastAsia="en-US"/>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customStyle="1" w:styleId="CommentSubjectChar">
    <w:name w:val="Comment Subject Char"/>
    <w:basedOn w:val="CommentTextChar"/>
    <w:link w:val="CommentSubject"/>
    <w:uiPriority w:val="99"/>
    <w:semiHidden/>
    <w:rPr>
      <w:b/>
      <w:bCs/>
      <w:lang w:val="en-US" w:eastAsia="en-US"/>
    </w:rPr>
  </w:style>
  <w:style w:type="character" w:customStyle="1" w:styleId="DocumentMapChar">
    <w:name w:val="Document Map Char"/>
    <w:basedOn w:val="DefaultParagraphFont"/>
    <w:link w:val="DocumentMap"/>
    <w:rPr>
      <w:rFonts w:ascii="Tahoma" w:eastAsia="Times New Roman" w:hAnsi="Tahoma" w:cs="Tahoma"/>
      <w:sz w:val="16"/>
      <w:szCs w:val="16"/>
      <w:lang w:val="en-US" w:eastAsia="en-US"/>
    </w:rPr>
  </w:style>
  <w:style w:type="table" w:customStyle="1" w:styleId="1">
    <w:name w:val="1"/>
    <w:basedOn w:val="TableNormal"/>
    <w:tblPr>
      <w:tblCellMar>
        <w:top w:w="100" w:type="dxa"/>
        <w:left w:w="100" w:type="dxa"/>
        <w:bottom w:w="100" w:type="dxa"/>
        <w:right w:w="100" w:type="dxa"/>
      </w:tblCellMar>
    </w:tblPr>
    <w:tcPr>
      <w:shd w:val="clear" w:color="auto" w:fill="D0DDEF"/>
    </w:tcPr>
  </w:style>
  <w:style w:type="character" w:customStyle="1" w:styleId="ListParagraphChar">
    <w:name w:val="List Paragraph Char"/>
    <w:link w:val="ListParagraph"/>
    <w:uiPriority w:val="34"/>
    <w:qFormat/>
    <w:locked/>
    <w:rPr>
      <w:rFonts w:ascii="Calibri" w:eastAsia="Calibri" w:hAnsi="Calibri" w:cs="Calibri"/>
      <w:color w:val="000000"/>
      <w:sz w:val="22"/>
      <w:szCs w:val="22"/>
      <w:u w:color="000000"/>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36">
    <w:name w:val="_Style 36"/>
    <w:basedOn w:val="TableNormal"/>
    <w:tblPr>
      <w:tblCellMar>
        <w:left w:w="177"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inprocurement@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exSfAtR3mfyYnXN8RjX6k3mLQ==">AMUW2mU4DfGYLuWUo6VGM1azsVy9zSho0vjhATbJx0dnVUsiAW2daq1enCQzeWElWewvbP+Y/TNGOu27/VD0kQmcpGkdPmCY2UUldqnTRfDcXbxe8vu95jw=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Afiwa Mata </cp:lastModifiedBy>
  <cp:revision>3</cp:revision>
  <dcterms:created xsi:type="dcterms:W3CDTF">2023-09-15T16:14:00Z</dcterms:created>
  <dcterms:modified xsi:type="dcterms:W3CDTF">2023-09-15T16:59:00Z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1036-12.2.0.13201</vt:lpwstr>
  </property>
  <property fmtid="{D5CDD505-2E9C-101B-9397-08002B2CF9AE}" pid="3" name="ICV">
    <vt:lpwstr>670CFD6183F3450F9783B1FA6322F792_13</vt:lpwstr>
  </property>
</Properties>
</file>